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096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0961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Zhang Liyu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DSC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DSC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NO.175 WUCHANG AVENUE</w:t>
            </w:r>
          </w:p>
        </w:tc>
      </w:tr>
      <w:tr>
        <w:trPr>
          <w:trHeight w:val="30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YUHANG DISTRICT</w:t>
            </w:r>
          </w:p>
        </w:tc>
        <w:tc>
          <w:tcPr>
            <w:tcW w:w="116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HANGZHOU F4</w:t>
            </w: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311100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99"/>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5,000,000</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Held by Drean Car Limited</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1,265,760</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0.0083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2,511,759</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0.2109</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871,500</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12"/>
              <w:spacing w:after="0"/>
              <w:rPr>
                <w:sz w:val="20"/>
                <w:szCs w:val="20"/>
                <w:color w:val="auto"/>
              </w:rPr>
            </w:pPr>
            <w:r>
              <w:rPr>
                <w:rFonts w:ascii="Times New Roman" w:cs="Times New Roman" w:eastAsia="Times New Roman" w:hAnsi="Times New Roman"/>
                <w:sz w:val="15"/>
                <w:szCs w:val="15"/>
                <w:color w:val="0000FF"/>
                <w:w w:val="99"/>
              </w:rPr>
              <w:t>07/01/2026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40,500</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800,000</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1,162,000</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2"/>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2,000,000</w:t>
            </w: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each ordinary shares will be redesignated as Class A ordinary shares on a one-for-one basis.</w:t>
      </w:r>
    </w:p>
    <w:p>
      <w:pPr>
        <w:spacing w:after="0" w:line="52"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July 25, 2023. All such options will become exercisable upon the completion of the Issuer's initial public offering.</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July 25, 2023 and subject to 4-year service based vesting schedule, with 25% vesting each year.</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March 29, 2024 and subject to 4-year service based vesting schedule, with 25% vesting each year.</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May 26, 2026 and will become exercisable upon the completion of the Issuer's initial public offering.</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Liyu Zhang</w:t>
            </w:r>
          </w:p>
        </w:tc>
        <w:tc>
          <w:tcPr>
            <w:tcW w:w="10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06/24/2026</w:t>
            </w:r>
          </w:p>
        </w:tc>
      </w:tr>
    </w:tbl>
    <w:p>
      <w:pPr>
        <w:spacing w:after="0" w:line="68"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5232" TargetMode="External"/><Relationship Id="rId11" Type="http://schemas.openxmlformats.org/officeDocument/2006/relationships/hyperlink" Target="http://www.sec.gov/cgi-bin/browse-edgar?action=getcompany&amp;CIK=0001966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2026-06-24T17:59:01Z</dcterms:created>
  <dcterms:modified xsi:type="dcterms:W3CDTF">2026-06-24T17:59:01Z</dcterms:modified>
</cp:coreProperties>
</file>