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This is a draft registration statement that is being confidentially submitted to the Securities and Exchange Commission on October 30, 2023.</w:t>
      </w:r>
    </w:p>
    <w:p>
      <w:pPr>
        <w:spacing w:after="0" w:line="6"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F-1</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DSC Holdings Ltd.</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194"/>
        </w:trPr>
        <w:tc>
          <w:tcPr>
            <w:tcW w:w="286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7370</w:t>
            </w:r>
          </w:p>
        </w:tc>
        <w:tc>
          <w:tcPr>
            <w:tcW w:w="2420" w:type="dxa"/>
            <w:vAlign w:val="bottom"/>
          </w:tcPr>
          <w:p>
            <w:pPr>
              <w:jc w:val="center"/>
              <w:ind w:left="945"/>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48"/>
        </w:trPr>
        <w:tc>
          <w:tcPr>
            <w:tcW w:w="2860" w:type="dxa"/>
            <w:vAlign w:val="bottom"/>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 2 Wangjiang North Road, Room 148</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Zhongshan Community, Baiyun Street</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Dongyang, Jinhua City,</w:t>
      </w:r>
    </w:p>
    <w:p>
      <w:pPr>
        <w:jc w:val="center"/>
        <w:ind w:right="-119"/>
        <w:spacing w:after="0" w:line="234" w:lineRule="auto"/>
        <w:rPr>
          <w:sz w:val="20"/>
          <w:szCs w:val="20"/>
          <w:color w:val="auto"/>
        </w:rPr>
      </w:pPr>
      <w:r>
        <w:rPr>
          <w:rFonts w:ascii="Times New Roman" w:cs="Times New Roman" w:eastAsia="Times New Roman" w:hAnsi="Times New Roman"/>
          <w:sz w:val="14"/>
          <w:szCs w:val="14"/>
          <w:b w:val="1"/>
          <w:bCs w:val="1"/>
          <w:color w:val="auto"/>
        </w:rPr>
        <w:t>Zhejiang Province, China +86 0571 8860 7326</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COGENCY GLOBAL INC.</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122 East 42nd Street, 18th Floor New York, NY 10168</w:t>
      </w:r>
    </w:p>
    <w:p>
      <w:pPr>
        <w:jc w:val="center"/>
        <w:ind w:right="-119"/>
        <w:spacing w:after="0" w:line="233" w:lineRule="auto"/>
        <w:rPr>
          <w:sz w:val="20"/>
          <w:szCs w:val="20"/>
          <w:color w:val="auto"/>
        </w:rPr>
      </w:pPr>
      <w:r>
        <w:rPr>
          <w:rFonts w:ascii="Times New Roman" w:cs="Times New Roman" w:eastAsia="Times New Roman" w:hAnsi="Times New Roman"/>
          <w:sz w:val="14"/>
          <w:szCs w:val="14"/>
          <w:b w:val="1"/>
          <w:bCs w:val="1"/>
          <w:color w:val="auto"/>
        </w:rPr>
        <w:t>+1 800-221-0102</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2" w:lineRule="exact"/>
        <w:rPr>
          <w:sz w:val="24"/>
          <w:szCs w:val="24"/>
          <w:color w:val="auto"/>
        </w:rPr>
      </w:pPr>
    </w:p>
    <w:tbl>
      <w:tblPr>
        <w:tblLayout w:type="fixed"/>
        <w:tblInd w:w="98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5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3200" w:type="dxa"/>
            <w:vAlign w:val="bottom"/>
          </w:tcPr>
          <w:p>
            <w:pPr>
              <w:spacing w:after="0"/>
              <w:rPr>
                <w:sz w:val="16"/>
                <w:szCs w:val="16"/>
                <w:color w:val="auto"/>
              </w:rPr>
            </w:pPr>
          </w:p>
        </w:tc>
      </w:tr>
      <w:tr>
        <w:trPr>
          <w:trHeight w:val="228"/>
        </w:trPr>
        <w:tc>
          <w:tcPr>
            <w:tcW w:w="284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Li He, Esq.</w:t>
            </w:r>
          </w:p>
        </w:tc>
        <w:tc>
          <w:tcPr>
            <w:tcW w:w="35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Ran Li, Esq.</w:t>
            </w:r>
          </w:p>
        </w:tc>
        <w:tc>
          <w:tcPr>
            <w:tcW w:w="32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Shuang Zhao, Esq.</w:t>
            </w:r>
          </w:p>
        </w:tc>
      </w:tr>
      <w:tr>
        <w:trPr>
          <w:trHeight w:val="148"/>
        </w:trPr>
        <w:tc>
          <w:tcPr>
            <w:tcW w:w="2840" w:type="dxa"/>
            <w:vAlign w:val="bottom"/>
          </w:tcPr>
          <w:p>
            <w:pPr>
              <w:jc w:val="center"/>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c>
          <w:tcPr>
            <w:tcW w:w="35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c>
          <w:tcPr>
            <w:tcW w:w="320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b w:val="1"/>
                <w:bCs w:val="1"/>
                <w:color w:val="auto"/>
              </w:rPr>
              <w:t>Cleary Gottlieb Steen &amp; Hamilton LLP</w:t>
            </w:r>
          </w:p>
        </w:tc>
      </w:tr>
      <w:tr>
        <w:trPr>
          <w:trHeight w:val="148"/>
        </w:trPr>
        <w:tc>
          <w:tcPr>
            <w:tcW w:w="2840" w:type="dxa"/>
            <w:vAlign w:val="bottom"/>
          </w:tcPr>
          <w:p>
            <w:pPr>
              <w:jc w:val="center"/>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c/o 18th Floor, The Hong Kong</w:t>
            </w:r>
          </w:p>
        </w:tc>
        <w:tc>
          <w:tcPr>
            <w:tcW w:w="35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2201 China World office 2,</w:t>
            </w:r>
          </w:p>
        </w:tc>
        <w:tc>
          <w:tcPr>
            <w:tcW w:w="3200" w:type="dxa"/>
            <w:vAlign w:val="bottom"/>
          </w:tcPr>
          <w:p>
            <w:pPr>
              <w:jc w:val="center"/>
              <w:ind w:left="728"/>
              <w:spacing w:after="0" w:line="149" w:lineRule="exact"/>
              <w:rPr>
                <w:sz w:val="20"/>
                <w:szCs w:val="20"/>
                <w:color w:val="auto"/>
              </w:rPr>
            </w:pPr>
            <w:r>
              <w:rPr>
                <w:rFonts w:ascii="Times New Roman" w:cs="Times New Roman" w:eastAsia="Times New Roman" w:hAnsi="Times New Roman"/>
                <w:sz w:val="14"/>
                <w:szCs w:val="14"/>
                <w:b w:val="1"/>
                <w:bCs w:val="1"/>
                <w:color w:val="auto"/>
              </w:rPr>
              <w:t>c/o 37th Floor, Hysan Place</w:t>
            </w:r>
          </w:p>
        </w:tc>
      </w:tr>
      <w:tr>
        <w:trPr>
          <w:trHeight w:val="149"/>
        </w:trPr>
        <w:tc>
          <w:tcPr>
            <w:tcW w:w="2840" w:type="dxa"/>
            <w:vAlign w:val="bottom"/>
          </w:tcPr>
          <w:p>
            <w:pPr>
              <w:jc w:val="center"/>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Club Building</w:t>
            </w:r>
          </w:p>
        </w:tc>
        <w:tc>
          <w:tcPr>
            <w:tcW w:w="35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1 Jian Guo Men Wai Avenue</w:t>
            </w:r>
          </w:p>
        </w:tc>
        <w:tc>
          <w:tcPr>
            <w:tcW w:w="3200" w:type="dxa"/>
            <w:vAlign w:val="bottom"/>
          </w:tcPr>
          <w:p>
            <w:pPr>
              <w:jc w:val="center"/>
              <w:ind w:left="728"/>
              <w:spacing w:after="0" w:line="149" w:lineRule="exact"/>
              <w:rPr>
                <w:sz w:val="20"/>
                <w:szCs w:val="20"/>
                <w:color w:val="auto"/>
              </w:rPr>
            </w:pPr>
            <w:r>
              <w:rPr>
                <w:rFonts w:ascii="Times New Roman" w:cs="Times New Roman" w:eastAsia="Times New Roman" w:hAnsi="Times New Roman"/>
                <w:sz w:val="14"/>
                <w:szCs w:val="14"/>
                <w:b w:val="1"/>
                <w:bCs w:val="1"/>
                <w:color w:val="auto"/>
              </w:rPr>
              <w:t>500 Hennessy Road, Causeway Bay</w:t>
            </w:r>
          </w:p>
        </w:tc>
      </w:tr>
      <w:tr>
        <w:trPr>
          <w:trHeight w:val="148"/>
        </w:trPr>
        <w:tc>
          <w:tcPr>
            <w:tcW w:w="284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3A Chater Road,</w:t>
            </w:r>
          </w:p>
        </w:tc>
        <w:tc>
          <w:tcPr>
            <w:tcW w:w="35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Chaoyang District</w:t>
            </w:r>
          </w:p>
        </w:tc>
        <w:tc>
          <w:tcPr>
            <w:tcW w:w="3200" w:type="dxa"/>
            <w:vAlign w:val="bottom"/>
          </w:tcPr>
          <w:p>
            <w:pPr>
              <w:jc w:val="center"/>
              <w:ind w:left="728"/>
              <w:spacing w:after="0" w:line="149" w:lineRule="exact"/>
              <w:rPr>
                <w:sz w:val="20"/>
                <w:szCs w:val="20"/>
                <w:color w:val="auto"/>
              </w:rPr>
            </w:pPr>
            <w:r>
              <w:rPr>
                <w:rFonts w:ascii="Times New Roman" w:cs="Times New Roman" w:eastAsia="Times New Roman" w:hAnsi="Times New Roman"/>
                <w:sz w:val="14"/>
                <w:szCs w:val="14"/>
                <w:b w:val="1"/>
                <w:bCs w:val="1"/>
                <w:color w:val="auto"/>
              </w:rPr>
              <w:t>Hong Kong</w:t>
            </w:r>
          </w:p>
        </w:tc>
      </w:tr>
      <w:tr>
        <w:trPr>
          <w:trHeight w:val="148"/>
        </w:trPr>
        <w:tc>
          <w:tcPr>
            <w:tcW w:w="2840" w:type="dxa"/>
            <w:vAlign w:val="bottom"/>
          </w:tcPr>
          <w:p>
            <w:pPr>
              <w:jc w:val="center"/>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Central Hong Kong</w:t>
            </w:r>
          </w:p>
        </w:tc>
        <w:tc>
          <w:tcPr>
            <w:tcW w:w="35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Beijing 100004</w:t>
            </w:r>
          </w:p>
        </w:tc>
        <w:tc>
          <w:tcPr>
            <w:tcW w:w="3200" w:type="dxa"/>
            <w:vAlign w:val="bottom"/>
          </w:tcPr>
          <w:p>
            <w:pPr>
              <w:jc w:val="center"/>
              <w:ind w:left="728"/>
              <w:spacing w:after="0" w:line="149" w:lineRule="exact"/>
              <w:rPr>
                <w:sz w:val="20"/>
                <w:szCs w:val="20"/>
                <w:color w:val="auto"/>
              </w:rPr>
            </w:pPr>
            <w:r>
              <w:rPr>
                <w:rFonts w:ascii="Times New Roman" w:cs="Times New Roman" w:eastAsia="Times New Roman" w:hAnsi="Times New Roman"/>
                <w:sz w:val="14"/>
                <w:szCs w:val="14"/>
                <w:b w:val="1"/>
                <w:bCs w:val="1"/>
                <w:color w:val="auto"/>
              </w:rPr>
              <w:t>+852 2521-4122</w:t>
            </w:r>
          </w:p>
        </w:tc>
      </w:tr>
      <w:tr>
        <w:trPr>
          <w:trHeight w:val="149"/>
        </w:trPr>
        <w:tc>
          <w:tcPr>
            <w:tcW w:w="284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+852 2533-3300</w:t>
            </w:r>
          </w:p>
        </w:tc>
        <w:tc>
          <w:tcPr>
            <w:tcW w:w="35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China</w:t>
            </w:r>
          </w:p>
        </w:tc>
        <w:tc>
          <w:tcPr>
            <w:tcW w:w="3200" w:type="dxa"/>
            <w:vAlign w:val="bottom"/>
          </w:tcPr>
          <w:p>
            <w:pPr>
              <w:spacing w:after="0"/>
              <w:rPr>
                <w:sz w:val="12"/>
                <w:szCs w:val="12"/>
                <w:color w:val="auto"/>
              </w:rPr>
            </w:pPr>
          </w:p>
        </w:tc>
      </w:tr>
      <w:tr>
        <w:trPr>
          <w:trHeight w:val="190"/>
        </w:trPr>
        <w:tc>
          <w:tcPr>
            <w:tcW w:w="2840" w:type="dxa"/>
            <w:vAlign w:val="bottom"/>
          </w:tcPr>
          <w:p>
            <w:pPr>
              <w:spacing w:after="0"/>
              <w:rPr>
                <w:sz w:val="16"/>
                <w:szCs w:val="16"/>
                <w:color w:val="auto"/>
              </w:rPr>
            </w:pPr>
          </w:p>
        </w:tc>
        <w:tc>
          <w:tcPr>
            <w:tcW w:w="35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+86 10 8567 5000</w:t>
            </w:r>
          </w:p>
        </w:tc>
        <w:tc>
          <w:tcPr>
            <w:tcW w:w="3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As soon as practicable after the effective date of this Registration Statement.</w:t>
      </w:r>
    </w:p>
    <w:p>
      <w:pPr>
        <w:spacing w:after="0" w:line="98" w:lineRule="exact"/>
        <w:rPr>
          <w:sz w:val="24"/>
          <w:szCs w:val="24"/>
          <w:color w:val="auto"/>
        </w:rPr>
      </w:pPr>
    </w:p>
    <w:p>
      <w:pPr>
        <w:ind w:left="120"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46" w:lineRule="exact"/>
        <w:rPr>
          <w:sz w:val="24"/>
          <w:szCs w:val="24"/>
          <w:color w:val="auto"/>
        </w:rPr>
      </w:pPr>
    </w:p>
    <w:p>
      <w:pPr>
        <w:ind w:left="1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3311525</wp:posOffset>
            </wp:positionH>
            <wp:positionV relativeFrom="paragraph">
              <wp:posOffset>-32385</wp:posOffset>
            </wp:positionV>
            <wp:extent cx="365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40" w:lineRule="exact"/>
        <w:rPr>
          <w:sz w:val="24"/>
          <w:szCs w:val="24"/>
          <w:color w:val="auto"/>
        </w:rPr>
      </w:pPr>
    </w:p>
    <w:p>
      <w:pPr>
        <w:ind w:left="120"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2537460</wp:posOffset>
            </wp:positionH>
            <wp:positionV relativeFrom="paragraph">
              <wp:posOffset>-32385</wp:posOffset>
            </wp:positionV>
            <wp:extent cx="365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40" w:lineRule="exact"/>
        <w:rPr>
          <w:sz w:val="24"/>
          <w:szCs w:val="24"/>
          <w:color w:val="auto"/>
        </w:rPr>
      </w:pPr>
    </w:p>
    <w:p>
      <w:pPr>
        <w:ind w:left="120"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2537460</wp:posOffset>
            </wp:positionH>
            <wp:positionV relativeFrom="paragraph">
              <wp:posOffset>-32385</wp:posOffset>
            </wp:positionV>
            <wp:extent cx="365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78" w:lineRule="exact"/>
        <w:rPr>
          <w:sz w:val="24"/>
          <w:szCs w:val="24"/>
          <w:color w:val="auto"/>
        </w:rPr>
      </w:pPr>
    </w:p>
    <w:p>
      <w:pPr>
        <w:ind w:left="93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0" w:lineRule="exact"/>
        <w:rPr>
          <w:sz w:val="24"/>
          <w:szCs w:val="24"/>
          <w:color w:val="auto"/>
        </w:rPr>
      </w:pPr>
    </w:p>
    <w:p>
      <w:pPr>
        <w:ind w:left="120"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7(a)(2)(B) of the Securities Act. 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20" w:firstLine="436"/>
        <w:spacing w:after="0" w:line="261" w:lineRule="auto"/>
        <w:tabs>
          <w:tab w:leader="none" w:pos="69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6" w:lineRule="exact"/>
        <w:rPr>
          <w:sz w:val="24"/>
          <w:szCs w:val="24"/>
          <w:color w:val="auto"/>
        </w:rPr>
      </w:pPr>
    </w:p>
    <w:p>
      <w:pPr>
        <w:jc w:val="both"/>
        <w:ind w:left="120" w:right="2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United States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DE1A1E"/>
        </w:rPr>
        <w:t>SUBJECT TO COMPLETION,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DE1A1E"/>
        </w:rPr>
        <w:t>PRELIMINARY PROSPECTUS DATED                , 2023</w:t>
      </w:r>
    </w:p>
    <w:p>
      <w:pPr>
        <w:spacing w:after="0" w:line="86" w:lineRule="exact"/>
        <w:rPr>
          <w:sz w:val="20"/>
          <w:szCs w:val="20"/>
          <w:color w:val="auto"/>
        </w:rPr>
      </w:pPr>
    </w:p>
    <w:p>
      <w:pPr>
        <w:jc w:val="center"/>
        <w:ind w:right="-99"/>
        <w:spacing w:after="0"/>
        <w:tabs>
          <w:tab w:leader="none" w:pos="200" w:val="left"/>
        </w:tabs>
        <w:rPr>
          <w:sz w:val="20"/>
          <w:szCs w:val="20"/>
          <w:color w:val="auto"/>
        </w:rPr>
      </w:pPr>
      <w:r>
        <w:rPr>
          <w:rFonts w:ascii="Times New Roman" w:cs="Times New Roman" w:eastAsia="Times New Roman" w:hAnsi="Times New Roman"/>
          <w:sz w:val="22"/>
          <w:szCs w:val="22"/>
          <w:i w:val="1"/>
          <w:iCs w:val="1"/>
          <w:color w:val="auto"/>
        </w:rPr>
        <w:t xml:space="preserve">       </w:t>
      </w:r>
      <w:r>
        <w:rPr>
          <w:sz w:val="20"/>
          <w:szCs w:val="20"/>
          <w:color w:val="auto"/>
        </w:rPr>
        <w:tab/>
      </w:r>
      <w:r>
        <w:rPr>
          <w:rFonts w:ascii="Times New Roman" w:cs="Times New Roman" w:eastAsia="Times New Roman" w:hAnsi="Times New Roman"/>
          <w:sz w:val="21"/>
          <w:szCs w:val="21"/>
          <w:i w:val="1"/>
          <w:i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90805</wp:posOffset>
            </wp:positionV>
            <wp:extent cx="211709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170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i w:val="1"/>
          <w:iCs w:val="1"/>
          <w:color w:val="auto"/>
        </w:rPr>
        <w:t>DSC Holdings Ltd.</w:t>
      </w:r>
    </w:p>
    <w:p>
      <w:pPr>
        <w:spacing w:after="0" w:line="39" w:lineRule="exact"/>
        <w:rPr>
          <w:sz w:val="20"/>
          <w:szCs w:val="20"/>
          <w:color w:val="auto"/>
        </w:rPr>
      </w:pPr>
    </w:p>
    <w:p>
      <w:pPr>
        <w:jc w:val="center"/>
        <w:ind w:right="-99"/>
        <w:spacing w:after="0"/>
        <w:tabs>
          <w:tab w:leader="none" w:pos="200" w:val="left"/>
        </w:tabs>
        <w:rPr>
          <w:sz w:val="20"/>
          <w:szCs w:val="20"/>
          <w:color w:val="auto"/>
        </w:rPr>
      </w:pPr>
      <w:r>
        <w:rPr>
          <w:rFonts w:ascii="Times New Roman" w:cs="Times New Roman" w:eastAsia="Times New Roman" w:hAnsi="Times New Roman"/>
          <w:sz w:val="22"/>
          <w:szCs w:val="22"/>
          <w:i w:val="1"/>
          <w:iCs w:val="1"/>
          <w:color w:val="auto"/>
        </w:rPr>
        <w:t xml:space="preserve">Representing        </w:t>
      </w:r>
      <w:r>
        <w:rPr>
          <w:sz w:val="20"/>
          <w:szCs w:val="20"/>
          <w:color w:val="auto"/>
        </w:rPr>
        <w:tab/>
      </w:r>
      <w:r>
        <w:rPr>
          <w:rFonts w:ascii="Times New Roman" w:cs="Times New Roman" w:eastAsia="Times New Roman" w:hAnsi="Times New Roman"/>
          <w:sz w:val="21"/>
          <w:szCs w:val="21"/>
          <w:i w:val="1"/>
          <w:iCs w:val="1"/>
          <w:color w:val="auto"/>
        </w:rPr>
        <w:t>Class A Ordinary Shares</w:t>
      </w:r>
    </w:p>
    <w:p>
      <w:pPr>
        <w:spacing w:after="0" w:line="81"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This is an initial public offering of       American depositary shares, or ADSs, of DSC Holdings Ltd. Each ADS represents       of our Class A ordinary shares, par value US$0.0001 per share.</w:t>
      </w:r>
    </w:p>
    <w:p>
      <w:pPr>
        <w:spacing w:after="0" w:line="50"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Prior to this offering, there has been no public market for the ADSs or our Class A ordinary shares. We anticipate that the initial public offering price will be between US$      and US$      per ADS. We have applied to list the ADSs representing our Class A ordinary shares on the Nasdaq Global Select Market under the symbol “      .”</w:t>
      </w:r>
    </w:p>
    <w:p>
      <w:pPr>
        <w:spacing w:after="0" w:line="65"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50"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Following the completion of this offering, our issued and outstanding share capital will consist of Class A ordinary shares and Class B ordinary shares. Mr. Junhong Yao, our founder, director and chief executive officer, will beneficially own all of our issued and outstanding Class B ordinary shares and will be able to exercise approximately      % of the total voting power of our issued and outstanding share capital immediately following the completion of this offering. Holders of Class A ordinary shares and Class B ordinary shares have the same rights except for voting and conversion rights. Each Class A ordinary share is entitled to one vote. Each Class B ordinary share is entitled to 10 votes.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 by a holder thereof to any non-affiliate to such holder, each of such Class B ordinary share will be automatically and immediately converted into one Class A ordinary share. See “Description of Share Capital.” Immediately following the completion of this offering, we will be a “controlled company” within the meaning of the Nasdaq rules. See “Principal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US federal securities laws and will be subject to reduced public company reporting requirements.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ADSs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35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DSC Holdings Ltd. (“DSC” or the “Company”) is a Cayman Islands holding company with no substantial operations of its own. The Company conducts its current operations primarily through its subsidiaries in China and through the contractual arrangements between such subsidiaries and two variable interest entities, namely Hangzhou Souche Network Technology Co., Ltd. ( “Hangzhou Souche”) and Beijing Peak Technology Co., Ltd. ( “Beijing Peak”, and together with Hangzhou Souche, the “VIEs”), and their subsidiaries. The VIEs are combined or consolidated for accounting purposes only and DSC does not own any equity interests in the VIEs. The PRC laws and regulations restrict and impose conditions on direct foreign investment in certain types of business, including value-added telecommunications business, and we therefore operate these businesses in China through the VIE structure which provides investors with exposure to foreign investment in the Chinese operating companies where the PRC laws impose limitations on us from direct foreign investment in the operating companies. For a summary of these contractual arrangements, see “Corporate History and Structure—Contractual Arrangements with the VIEs and Their Shareholders.” Investors are purchasing equity interests in DSC, the Cayman Islands holding company, and are not purchasing, and may never directly hold, equity interests in the VIEs. Investors who are non-PRC residents may never directly hold equity interests in the VIEs under current PRC laws and regulations. As used in this prospectus, “we”, “us”, or “our” refers to DSC and its subsidiaries.</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Our corporate structure is subject to risks relating to our contractual arrangements with the VIEs and their shareholders. The VIEs and their subsidiaries generated 61.6%, 46.6% and 45.2% of our total revenues in 2021 and 2022 and for the six months ended June 30, 2023, respectively. As of December 31, 2021 and 2022 and June 30, 2023, the total current assets and non-current assets of the VIEs and their subsidiaries accounted for 78.7%, 63.8% and 60.2% of our combined total assets, respectively, as of the same dates. As of the date of this prospectus, our contractual arrangements with the VIEs have not been tested in any of the PRC courts. The interpretation and application of current and future PRC laws and regulations relating to these contractual arrangements are still evolving. If the PRC government considers that our contractual arrangements with the VIEs do not comply with the PRC regulations on direct foreign investment in the relevant industries, or if the relevant PRC laws and regulations or the interpretation thereof change in the future, we could be subject to severe penalties or be forced to relinquish our interests in the VIEs, forfeit our rights under the contractual arrangements, or otherwise significantly change our corporate structure. DSC and investors in the ADSs face uncertainty about potential future actions by the PRC government, which could affect the enforceability of our contractual arrangements with the VIEs and, consequently, significantly affect the financial condition and results of operations of DSC. If we are unable to assert our right to control the assets of the VIEs, or if the PRC government were to prohibit the VIE structure entirely, it could lead to a material adverse change in our operations, and the ADSs may significantly decline in value or become worthless. See “Risk Factors—Risks Related to Corporate Structure.”</w:t>
      </w:r>
    </w:p>
    <w:p>
      <w:pPr>
        <w:spacing w:after="0" w:line="7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As substantially all of our operations are based in China, we face various legal and regulatory requirement related to being based in and having majority of our operations in China. Like the government of some other countries does to the companies based in their countries, the PRC government has wide discretion and authority to influence the ability of China-based companies, including our own, to conduct business, accept foreign investments, and list on a U.S. or other foreign exchanges. For example, we face risks associated with regulatory approvals of offshore offerings, anti-monopoly regulatory actions and oversight on cybersecurity and data privacy. These risks could result in a material change in our operations, affect the value of our ADSs, or significantly limit or completely hinder our ability to offer or continue to offer ADSs and/or other securities to investors overseas, potentially causing the value of such securities to significantly decline or be worthless. For a detailed description of risks related to doing business in China, see “Summary—Permission Required from the PRC Authorities for Our Operations and Offerings” and “Risk Factors—Risks Related to Doing Business in China.”</w:t>
      </w:r>
    </w:p>
    <w:p>
      <w:pPr>
        <w:spacing w:after="0" w:line="8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The PRC legal system encompasses government policies and administrative rules. New polices and rules may be introduced from time to time and may not be timely published, and existing ones may be modified, from time to time with possible retroactive effect under certain circumstances with little advanced notice. We may be found to be in violation of these policies and rules if we fail to timely and effectively adapt ourselves to these regulatory developments. Such potential violations, including potential violations over the scope and effect of our contractual, property (including intellectual property) and procedural rights, could materially and adversely affect our business and impede our ability to continue our operations. In addition, the PRC government may intervene or influence our operations as the government deems appropriate to further regulatory, political and societal goals. The PRC government has, in recent years, published new policies that significantly affected certain industries, including the internet sector. It is possible that the PRC government will release additional regulations or policies in the future that could adversely affect our business, financial condition and results of operations. Furthermore, the PRC government has recently indicated an intent to exert more oversight and control over overseas securities offerings and other capital markets activities and foreign investment in China-based companies like us. Any such actions, if taken by the PRC government, could result in a material change in our operations, and/or significantly limit or completely hinder our ability to offer or continue to offer securities to investors and cause the value of such securities to significantly decline or, in extreme cases, become worthless. For more details, see “Risk Factors—Risks Related to Doing Business in China—The evolving PRC legal system, including uncertainties regarding the enforcement of laws, and sudden or unexpected changes in laws and regulations in China could adversely affect us and limit the legal protections available to you and us.”</w:t>
      </w:r>
    </w:p>
    <w:p>
      <w:pPr>
        <w:spacing w:after="0" w:line="77"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Trading in our securities on U.S. markets, including the Nasdaq, may be prohibited under the Holding Foreign Companies Accountable Act (the “HFCAA”) if the Public Company Accounting Oversight Board (the “PCAOB”) determines that it is unable to inspect or investigate completely</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is subject to uncertainty and depends on a number of factors outside of our control, as well as that of our auditor, including positions taken by authorities of the PRC. 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the risk of delisting could continue to adversely affect the trading price of our securities. If the PCAOB determines in the future that it no longer has full access to inspect and investigate accounting firms headquartered in mainland China and Hong Kong and we continue to use any such accounting firm to conduct audit work, we would be identified as a “Commission-Identified Issuer” under the HFCAA following the filing of the annual report for the relevant fiscal year. If we were identified as a “Commission-Identified Issuer” for two consecutive years, trading in our securities on U.S. markets would be prohibited under the HFCAA. For more details, see “Risk Factors—Risks Related to Doing Business in China—If the PCAOB is prevented from fully evaluating audits and quality control procedures of our auditor, investors may be deprived of the benefits of such PCAOB inspections,” and “Risk Factors—Risks Related to Doing Business in China—The Holding Foreign Companies Accountable Act may result in the de-listing of the ADSs. The delisting of our ADSs, or the threat of their being delisted, may materially and adversely affect the value of your investment.”</w:t>
      </w:r>
    </w:p>
    <w:p>
      <w:pPr>
        <w:spacing w:after="0" w:line="8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DSC, our Cayman Islands holding company, may transfer cash to its wholly-owned subsidiaries incorporated in the Cayman Islands, the British Virgin Islands, and Hong Kong through capital injections and intra-group loans. Similarly, DSC’s wholly owned subsidiaries in Hong Kong may transfer cash to Hangzhou Dasouche Information Technology Service Co., Ltd. and CheYiPai (Beijing) Automotive Technology Service Co., Ltd., which we refer to collectively as our wholly-foreign owned entities in the PRC, or WFOEs, and other PRC subsidiaries through capital injections and intra-group loans. Cash is also transferred through our organization by way of intra-group transactions to pay for services or goods provided. Additionally, if our WFOEs and other PRC subsidiaries realize accumulated after-tax profits, they may, upon satisfaction of relevant statutory conditions and procedures, pay dividends or distribute earnings to DSC’s Hong Kong subsidiaries as the WFOEs’ and other PRC subsidiaries’ shareholders. These Hong Kong subsidiaries may, in turn, transfer cash to their parent companies incorporated in the Cayman Islands or the British Virgin Islands, through dividends or other distributions. With necessary funds, DSC may pay dividends or make other distributions to U.S. investors and service any debt it may have incurred outside of the PRC. Under current PRC laws and regulations, we are permitted to transfer funds to the VIEs through loans, rather than through capital contributions, since we do not own equity interests in the VIEs. In 2021 and 2022 and for the six months ended June 30, 2023, the VIEs paid RMB62.5 million, RMB37.1 million (US$5.1 million) and RMB12.6 million (US$1.7 million), respectively, to the WFOEs for certain administrative and delivery services the WFOEs provided to the VIEs, or as intra-group loans provided by the VIEs to the WFOEs to meet their working capital needs. Furthermore, in 2021 and 2022 and for the six months ended June 30, 2023, the WFOEs transferred funds of RMB72.7 million, RMB23.1 million (US$3.2 million) and RMB3.5 million (US$0.5 million), respectively, to the VIEs as payment of certain delivery, marketing and customer engagement solutions provided by VIEs to WFOEs or as intra-group loans provided by the WFOEs to the VIEs to meet their working capital needs. For details, see “Prospectus Summary—Our Summary Combined and Consolidated Financial Data and Operating Data—VIE Consolidating Schedules”. As of the date of this prospectus, none of the WFOEs or our other PRC subsidiaries has paid any dividend or made any distributions to their respective shareholders. DSC has not previously declared or paid any cash dividend or dividend in kind, and has no plan to declare or pay any dividends in the near future. For more details, see “Corporate History and Structure—Transfer of Funds and Other Assets through Our Organization,” “Corporate History and Structure—Regulatory Requirements on Foreign</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Exchange and the Ability to Transfer Cash Between Entities, Across Borders and to U.S. Investors” and “Corporate History and Structure—Dividends or Distributions Made to the Company and U.S. Investors and Tax Consequences.” We currently have not maintained any cash management policies that dictate the purpose, amount and procedure of cash transfers between the Company, our WFOEs and other PRC subsidiaries, the VIEs, or the investors. Rather, the funds can be transferred in accordance with the applicable laws and regulations in the PRC and other jurisdictions.</w:t>
      </w:r>
    </w:p>
    <w:p>
      <w:pPr>
        <w:spacing w:after="0" w:line="72"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To the extent our cash in the business is in the PRC or a PRC entity, the funds may not be available to distribute dividends to our investors, or for other use outside of the PRC, due to oversight on or the regulatory requirements and limitations on the ability of us, our subsidiaries, or the VIEs by the PRC government to transfer cash. The PRC government exerts oversights, in accordance with applicable laws and regulations, on the convertibility of Renminbi into foreign currencies and, in certain cases, the remittance of currency out of China. Our cash dividends, if any, will be paid in U.S. dollars. As a consequence, we might not be able to pay dividends in foreign currencies to our shareholders. If we are considered a PRC tax resident enterprise for tax purposes, any dividends we pay to our overseas shareholders may be regarded as China-sourced income and as a result may be subject to PRC withholding tax. In addition, relevant PRC laws and regulations permit the PRC companies to pay dividends only out of their retained earnings, if any, as determined in accordance with PRC accounting standards and regulations. The Company’s PRC subsidiaries may pay dividends only out of their accumulated after-tax profits upon satisfaction of relevant statutory conditions and procedures, if any, determined in accordance with Chinese accounting standards and regulations; each of the PRC subsidiaries is required to set aside at least 10% of its after-tax profits each year, if any, to fund certain reserve funds until the total amount set aside reaches 50% of its registered capital. Additionally, our PRC subsidiaries and the VIEs can only distribute dividends upon approval of the shareholders after they have met the PRC requirements for appropriation to the statutory reserves. Such laws and regulations would limit our ability to transfer cash between the Company, our WFOEs and other PRC subsidiaries, the VIEs, or investors. See “Risk Factors—Risks Related to Doing Business in China—PRC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 “Risk Factors—If we are classified as a PRC resident enterprise for PRC enterprise income tax purposes, such classification could result in unfavorable tax consequences to us and our non-PRC shareholders and ADS holders,” and “Regulation—Regulations relating to Foreign Exchange Control— Regulations on Dividend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151130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340" w:type="dxa"/>
            <w:vAlign w:val="bottom"/>
          </w:tcPr>
          <w:p>
            <w:pPr>
              <w:spacing w:after="0"/>
              <w:rPr>
                <w:sz w:val="20"/>
                <w:szCs w:val="20"/>
                <w:color w:val="auto"/>
              </w:rPr>
            </w:pP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Price US$       </w:t>
            </w: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Per ADS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80" w:type="dxa"/>
            <w:vAlign w:val="bottom"/>
          </w:tcPr>
          <w:p>
            <w:pPr>
              <w:spacing w:after="0"/>
              <w:rPr>
                <w:sz w:val="19"/>
                <w:szCs w:val="19"/>
                <w:color w:val="auto"/>
              </w:rPr>
            </w:pP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Per ADS</w:t>
            </w:r>
          </w:p>
        </w:tc>
        <w:tc>
          <w:tcPr>
            <w:tcW w:w="920" w:type="dxa"/>
            <w:vAlign w:val="bottom"/>
          </w:tcPr>
          <w:p>
            <w:pPr>
              <w:spacing w:after="0"/>
              <w:rPr>
                <w:sz w:val="19"/>
                <w:szCs w:val="19"/>
                <w:color w:val="auto"/>
              </w:rPr>
            </w:pP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Initial public offering price</w:t>
            </w:r>
          </w:p>
        </w:tc>
        <w:tc>
          <w:tcPr>
            <w:tcW w:w="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9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Underwriting discounts and commissions</w:t>
            </w:r>
            <w:r>
              <w:rPr>
                <w:rFonts w:ascii="Times New Roman" w:cs="Times New Roman" w:eastAsia="Times New Roman" w:hAnsi="Times New Roman"/>
                <w:sz w:val="25"/>
                <w:szCs w:val="25"/>
                <w:i w:val="1"/>
                <w:iCs w:val="1"/>
                <w:color w:val="auto"/>
                <w:vertAlign w:val="superscript"/>
              </w:rPr>
              <w:t>(1)</w:t>
            </w: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w w:val="70"/>
              </w:rPr>
              <w:t> </w:t>
            </w:r>
          </w:p>
        </w:tc>
        <w:tc>
          <w:tcPr>
            <w:tcW w:w="32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i w:val="1"/>
                <w:iCs w:val="1"/>
                <w:color w:val="auto"/>
                <w:w w:val="74"/>
              </w:rPr>
              <w:t> </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Proceeds, before expenses, to us</w:t>
            </w:r>
          </w:p>
        </w:tc>
        <w:tc>
          <w:tcPr>
            <w:tcW w:w="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i w:val="1"/>
                <w:iCs w:val="1"/>
                <w:color w:val="auto"/>
                <w:w w:val="70"/>
              </w:rPr>
              <w:t> </w:t>
            </w:r>
          </w:p>
        </w:tc>
        <w:tc>
          <w:tcPr>
            <w:tcW w:w="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i w:val="1"/>
                <w:iCs w:val="1"/>
                <w:color w:val="auto"/>
                <w:w w:val="74"/>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9"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a description of compensation payable to the underwriters, see “Underwriting.”</w:t>
      </w:r>
    </w:p>
    <w:p>
      <w:pPr>
        <w:spacing w:after="0" w:line="117"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The underwriters have an over-allotment option to purchase up to an additional       ADSs from us at the initial public offering price, less the underwriting discounts and commissions, within       days from the date of this prospectus.</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ADSs against payment in U.S. dollars in New York, New York on or about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164465</wp:posOffset>
            </wp:positionV>
            <wp:extent cx="147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i w:val="1"/>
          <w:iCs w:val="1"/>
          <w:color w:val="auto"/>
        </w:rPr>
        <w:t>MORGAN STANLEY</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i w:val="1"/>
          <w:iCs w:val="1"/>
          <w:color w:val="auto"/>
        </w:rPr>
        <w:t>CICC</w:t>
      </w:r>
    </w:p>
    <w:p>
      <w:pPr>
        <w:spacing w:after="0" w:line="124" w:lineRule="exact"/>
        <w:rPr>
          <w:sz w:val="20"/>
          <w:szCs w:val="20"/>
          <w:color w:val="auto"/>
        </w:rPr>
      </w:pPr>
    </w:p>
    <w:p>
      <w:pPr>
        <w:sectPr>
          <w:pgSz w:w="11900" w:h="16838" w:orient="portrait"/>
          <w:cols w:equalWidth="0" w:num="2">
            <w:col w:w="9820" w:space="720"/>
            <w:col w:w="60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i w:val="1"/>
          <w:iCs w:val="1"/>
          <w:color w:val="auto"/>
        </w:rPr>
        <w:t>The date of this prospectus is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i w:val="1"/>
          <w:iCs w:val="1"/>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i w:val="1"/>
          <w:iCs w:val="1"/>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 2023.</w:t>
      </w:r>
    </w:p>
    <w:p>
      <w:pPr>
        <w:sectPr>
          <w:pgSz w:w="11900" w:h="16838" w:orient="portrait"/>
          <w:cols w:equalWidth="0" w:num="5">
            <w:col w:w="2300" w:space="140"/>
            <w:col w:w="40" w:space="140"/>
            <w:col w:w="40" w:space="140"/>
            <w:col w:w="220" w:space="140"/>
            <w:col w:w="7980"/>
          </w:cols>
          <w:pgMar w:left="320" w:top="455"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Page intentionally left blank for graphics</w:t>
      </w:r>
      <w:r>
        <w:rPr>
          <w:rFonts w:ascii="Times New Roman" w:cs="Times New Roman" w:eastAsia="Times New Roman" w:hAnsi="Times New Roman"/>
          <w:sz w:val="18"/>
          <w:szCs w:val="18"/>
          <w:b w:val="1"/>
          <w:bCs w:val="1"/>
          <w:color w:val="auto"/>
        </w:rPr>
        <w:t>]</w:t>
      </w:r>
    </w:p>
    <w:p>
      <w:pPr>
        <w:sectPr>
          <w:pgSz w:w="11900" w:h="16838" w:orient="portrait"/>
          <w:cols w:equalWidth="0" w:num="1">
            <w:col w:w="10139"/>
          </w:cols>
          <w:pgMar w:left="320" w:top="45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285115</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0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Regulation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4880" w:type="dxa"/>
            <w:vAlign w:val="bottom"/>
            <w:gridSpan w:val="14"/>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420" w:type="dxa"/>
            <w:vAlign w:val="bottom"/>
          </w:tcPr>
          <w:p>
            <w:pPr>
              <w:spacing w:after="0"/>
              <w:rPr>
                <w:sz w:val="13"/>
                <w:szCs w:val="13"/>
                <w:color w:val="auto"/>
              </w:rPr>
            </w:pPr>
          </w:p>
        </w:tc>
        <w:tc>
          <w:tcPr>
            <w:tcW w:w="500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360" w:type="dxa"/>
            <w:vAlign w:val="bottom"/>
            <w:gridSpan w:val="6"/>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w:t>
            </w:r>
          </w:p>
        </w:tc>
        <w:tc>
          <w:tcPr>
            <w:tcW w:w="50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360" w:type="dxa"/>
            <w:vAlign w:val="bottom"/>
            <w:gridSpan w:val="2"/>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Shareholders</w:t>
            </w:r>
          </w:p>
        </w:tc>
        <w:tc>
          <w:tcPr>
            <w:tcW w:w="33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96"/>
        </w:trPr>
        <w:tc>
          <w:tcPr>
            <w:tcW w:w="48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5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3700" w:type="dxa"/>
            <w:vAlign w:val="bottom"/>
            <w:gridSpan w:val="7"/>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Share Capital</w:t>
            </w:r>
          </w:p>
        </w:tc>
        <w:tc>
          <w:tcPr>
            <w:tcW w:w="29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96"/>
        </w:trPr>
        <w:tc>
          <w:tcPr>
            <w:tcW w:w="48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5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Dilution</w:t>
            </w:r>
          </w:p>
        </w:tc>
        <w:tc>
          <w:tcPr>
            <w:tcW w:w="3880" w:type="dxa"/>
            <w:vAlign w:val="bottom"/>
            <w:gridSpan w:val="9"/>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31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18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5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Taxation</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History and Structure</w:t>
            </w:r>
          </w:p>
        </w:tc>
        <w:tc>
          <w:tcPr>
            <w:tcW w:w="80" w:type="dxa"/>
            <w:vAlign w:val="bottom"/>
          </w:tcPr>
          <w:p>
            <w:pPr>
              <w:spacing w:after="0"/>
              <w:rPr>
                <w:sz w:val="17"/>
                <w:szCs w:val="17"/>
                <w:color w:val="auto"/>
              </w:rPr>
            </w:pPr>
          </w:p>
        </w:tc>
        <w:tc>
          <w:tcPr>
            <w:tcW w:w="2480" w:type="dxa"/>
            <w:vAlign w:val="bottom"/>
            <w:gridSpan w:val="3"/>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5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Expenses Relating to this Offering</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and Results of Operations</w:t>
            </w:r>
          </w:p>
        </w:tc>
        <w:tc>
          <w:tcPr>
            <w:tcW w:w="340" w:type="dxa"/>
            <w:vAlign w:val="bottom"/>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4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5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Industry</w:t>
            </w: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5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74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5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17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and only under circumstances and in jurisdictions where it is lawful to do so. The information contained in this prospectus is current only as of its date.</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the ADSs and the distribution of this prospectus or any free writing prospectus outside of the United States.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ADSs representing our Class A ordinary shares. Our business, financial condition, results of operations and prospects may have changed since the date on the front cover of this prospectus.</w:t>
      </w:r>
    </w:p>
    <w:p>
      <w:pPr>
        <w:spacing w:after="0" w:line="188"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Until           , 2023 (the 25th day after the date of this prospectus), all dealers that buy, sell or trade the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402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74021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the ADSs discussed under “Risk Factors,” “Business,” and information contained in “Management’s Discussion and Analysis of Financial Condition and Results of Operations” before deciding whether to buy the ADSs.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Our Mission</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Our mission is to transform auto commerce through digitalization and integrated transaction services. We are dedicated to continuously bringing auto merchants’ business activities from offline to online, from isolated to connected, and thereby optimizing resource allocation and achieving transformative enhancement for the industry.</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Who We Are</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are the leading auto commerce enabler in China. We have achieved a market share of over 90% in operating systems among both used car dealers and new car brokers in China in 2022, according to CIC. We empower and enable auto merchants through digitalization solutions and transaction services that digitalize, integrate and optimize key aspects of their operations.</w:t>
      </w:r>
    </w:p>
    <w:p>
      <w:pPr>
        <w:spacing w:after="0" w:line="176"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The auto merchants we serve include used car dealers, OEMs, authorized dealers, and new car brokers. Our transaction services also involve and benefit thousands of collaborators to auto merchants, such as inspectors, transporters, financial institutions and so on.</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executed a clear and focused growth strategy laid out by our founders in 2013:</w:t>
      </w:r>
    </w:p>
    <w:p>
      <w:pPr>
        <w:spacing w:after="0" w:line="131" w:lineRule="exact"/>
        <w:rPr>
          <w:sz w:val="20"/>
          <w:szCs w:val="20"/>
          <w:color w:val="auto"/>
        </w:rPr>
      </w:pPr>
    </w:p>
    <w:p>
      <w:pPr>
        <w:ind w:left="1240" w:hanging="52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streamline auto merchants’ day-to-day operations through digitalization solutions to significantly reduce inefficiencies;</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leveraging this foundation of digitalized operating environment, we offer numerous transaction services to further address their business needs and enhance their efficiency and profitability.</w:t>
      </w:r>
    </w:p>
    <w:p>
      <w:pPr>
        <w:spacing w:after="0" w:line="162"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integration of digitalization solutions and transaction services creates a uniquely strong connection between us and auto merchants, helping us achieve some significant milestones in the past, and will likely continue to propel our growth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Notes:   1. In terms of number of users in 2022, according to CIC</w:t>
      </w:r>
    </w:p>
    <w:p>
      <w:pPr>
        <w:spacing w:after="0" w:line="27" w:lineRule="exact"/>
        <w:rPr>
          <w:sz w:val="20"/>
          <w:szCs w:val="20"/>
          <w:color w:val="auto"/>
        </w:rPr>
      </w:pPr>
    </w:p>
    <w:p>
      <w:pPr>
        <w:ind w:left="1560" w:hanging="235"/>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given time in 2022, according to CIC</w:t>
      </w:r>
    </w:p>
    <w:p>
      <w:pPr>
        <w:spacing w:after="0" w:line="9" w:lineRule="exact"/>
        <w:rPr>
          <w:rFonts w:ascii="Times New Roman" w:cs="Times New Roman" w:eastAsia="Times New Roman" w:hAnsi="Times New Roman"/>
          <w:sz w:val="18"/>
          <w:szCs w:val="18"/>
          <w:color w:val="auto"/>
        </w:rPr>
      </w:pPr>
    </w:p>
    <w:p>
      <w:pPr>
        <w:ind w:left="1560" w:hanging="235"/>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used car inspection volume in 2022, according to CIC</w:t>
      </w:r>
    </w:p>
    <w:p>
      <w:pPr>
        <w:spacing w:after="0" w:line="9" w:lineRule="exact"/>
        <w:rPr>
          <w:rFonts w:ascii="Times New Roman" w:cs="Times New Roman" w:eastAsia="Times New Roman" w:hAnsi="Times New Roman"/>
          <w:sz w:val="18"/>
          <w:szCs w:val="18"/>
          <w:color w:val="auto"/>
        </w:rPr>
      </w:pPr>
    </w:p>
    <w:p>
      <w:pPr>
        <w:ind w:left="1560" w:hanging="235"/>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online transaction volume in 2022, according to CIC</w:t>
      </w:r>
    </w:p>
    <w:p>
      <w:pPr>
        <w:spacing w:after="0" w:line="9" w:lineRule="exact"/>
        <w:rPr>
          <w:rFonts w:ascii="Times New Roman" w:cs="Times New Roman" w:eastAsia="Times New Roman" w:hAnsi="Times New Roman"/>
          <w:sz w:val="18"/>
          <w:szCs w:val="18"/>
          <w:color w:val="auto"/>
        </w:rPr>
      </w:pPr>
    </w:p>
    <w:p>
      <w:pPr>
        <w:ind w:left="1560" w:hanging="235"/>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single car deliveries made in 2022, according to CIC</w:t>
      </w: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82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682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Our Unique Synergy and Flywheel</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unwavering focus on auto merchants’ success underpins everything we do and led us to becoming mission critical for them. Today, our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DaSouChe </w:t>
      </w:r>
      <w:r>
        <w:rPr>
          <w:rFonts w:ascii="Times New Roman" w:cs="Times New Roman" w:eastAsia="Times New Roman" w:hAnsi="Times New Roman"/>
          <w:sz w:val="18"/>
          <w:szCs w:val="18"/>
          <w:color w:val="auto"/>
        </w:rPr>
        <w:t>platform can be illustrated by the following diagram: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Our digitalization solutions act as a magnet to attract and retain a highly active auto merchant base. In the used car space especially, we are the operating system most used car dealers in China rely on for everyday operations, according to CIC, which makes us an integral part of their business and opens up abundant opportunities for our integrated transaction services. Leveraging the superb merchant connection and invaluable data insight from our digitalization solutions, we provide auto merchants with transaction services with easier access and higher quality, both of which boost their profitability.</w:t>
      </w:r>
    </w:p>
    <w:p>
      <w:pPr>
        <w:spacing w:after="0" w:line="183"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This synergistic relationship between our two services namely, digitalization solutions and transaction services, enables us to offer unparalleled value proposition to auto merchants and their collaborators, strengthens our relationship with our customers and solidifies our market standing.</w:t>
      </w:r>
    </w:p>
    <w:p>
      <w:pPr>
        <w:spacing w:after="0" w:line="176"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 xml:space="preserve">We had 87,876 and 124,902 “active users,” respectively, in 2021 and 2022. “Active users” for a given year are calculated by the numbers of used car dealers who accessed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at least once during that year. In 2021 and 2022, approximately 28.7% and 55.3%, respectively, of the “active users” have used our transaction services at least once during the respective years. We believe we are still at an early stage of monetizing on transaction services, and we expect the penetration rate of our transaction services among our digitalization user base to continue to grow significantly.</w:t>
      </w:r>
    </w:p>
    <w:p>
      <w:pPr>
        <w:spacing w:after="0" w:line="183"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A large number of collaborators to auto merchants, including over 3,000 inspectors, over 3,900 logistics companies and over 80 financial institutions as of June 30, 2023, were also active on the digital infrastructure we have built. Together, they contribute to a thriving ecosystem where tens of thousands of auto merchants interact and collaborate amongst themselves and with third-party service providers with our technological and transactional support.</w:t>
      </w:r>
    </w:p>
    <w:p>
      <w:pPr>
        <w:spacing w:after="0" w:line="180"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Over the years, we have created a strong network with these ecosystem participants. In the used car space, in addition to having over 50% of China’s used car dealers as MAUs of our digitalization solutions according to CIC, we fostered their inter-dependence and became their business network, making it highly costly and unlikely for them to switch to competing services. For example, our platform houses over 8,000 self-organized “dealer</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8"/>
          <w:szCs w:val="18"/>
          <w:color w:val="auto"/>
        </w:rPr>
        <w:t>alliances” as of June 30, 2023, a type of “professional friends’ group”, where dealers trust each other to share inventories in return for part of the proceeds. We believe that our large market share, coupled with the strong relationship our ecosystem participants built a substantial moat for us.</w:t>
      </w:r>
    </w:p>
    <w:p>
      <w:pPr>
        <w:spacing w:after="0" w:line="162"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As a strong testament to the deep relationship that we have built with auto merchants, 55 out of the top 100 used car dealers in China (based on information published by China Automobile Dealers Association) have used our services for more than five years, and 80 out of such used car dealers have used our services for more than two years, as of June 30, 2023. In addition, the ARPU of our monetized dealers and brokers increased from RMB8,967 in 2021 to RMB10,276 in 2022, based on total revenues of RMB142.8 million and RMB234.2 million, respectively, generated from the transactions with such dealers and brokers in 2021 and 2022. The ARPU of our monetized dealers and brokers increased from RMB6,335 for the six months ended June 30, 2022 to RMB10,482 for the same period of 2023, based on total revenues of RMB89.0 million and RMB183.7 million, respectively, generated from the transactions with such dealers and brokers for the same periods. The amounts of revenues used to calculate ARPU exclude revenues from delivery services, customer engagement solutions, and marketing and sales services which we provide predominantly to OEMs.</w:t>
      </w:r>
    </w:p>
    <w:p>
      <w:pPr>
        <w:spacing w:after="0" w:line="188"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Technology and data play a critical role in our success. As we assist auto merchants in digitalizing their operations, our platform became a rich repository of data on vehicles, auto merchants and auto transactions that were otherwise unavailable. For example, our platform manages over 50% of used car inventory in China at any given time as well as real-time, wholesale prices for over 90% of China’s new car models for sale, according to CIC.</w:t>
      </w:r>
    </w:p>
    <w:p>
      <w:pPr>
        <w:spacing w:after="0" w:line="180"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This data wealth allows us to analyze market trends on a granular level, such as for a particular make and model of used car in a particular region. It also allows us to understand auto merchants on a highly individualized basis and offer transaction services to them that best suit their needs. We convert such data insights into effective commercial tools, empowering auto merchants to succeed in ways previously unknown to them. We utilize data analytics on vehicles and merchant activities to fuel iterations of intelligent solutions continually. Our data-driven industry intelligence significantly enhances our platform capability, making it indispensable to auto merchants.</w:t>
      </w:r>
    </w:p>
    <w:p>
      <w:pPr>
        <w:spacing w:after="0" w:line="183"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Through years of ecosystem development, we have gained tremendous industry know-how and invaluable insight, which are being deepened everyday as more auto merchants utilize our digitalization solutions for deeper aspects of their operations and use our growing number of transaction services for more of their transactions. We believe we have built a business model with an intrinsic flywheel effect that continuously enhances our competitive advantage and drives our future growth.</w:t>
      </w:r>
    </w:p>
    <w:p>
      <w:pPr>
        <w:spacing w:after="0" w:line="180"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financial performance. We generate revenue primarily from transaction services and to a lesser extent, digitalization solutions. Our total revenues were RMB387.5 million and RMB565.0 million (US$77.9 million) in 2021 and 2022, respectively, representing a year-on-year growth of 45.8%. Our total revenues were RMB208.7 million and RMB353.6 million (US$48.8 million) for the six months ended June 30, 2022 and 2023, respectively, representing a period-to-period growth of 69.4%. As we continue to invest in technology and growth, we recorded net loss of RMB445.3 million and RMB390.9 million (US$53.9 million) in 2021 and 2022, respectively. We recorded net loss of RMB260.2 million and RMB113.7 million (US$15.7 million) for the six months ended June 30, 2022 and 2023, respectively, representing a decrease in net loss by 56.3%. We recorded adjusted net loss of RMB409.5 million, RMB361.4 million (US$49.8 million), RMB245.3 million and RMB99.3 million (US$13.7 million) in 2021 and 2022 and for the six months ended June 30, 2022 and 2023, respectively. For a reconciliation of adjusted net loss to net loss, see “Management’s Discussion and Analysis of Financial Condition and Results of Operations —Non-GAAP Financial Measure.”</w:t>
      </w:r>
    </w:p>
    <w:p>
      <w:pPr>
        <w:spacing w:after="0" w:line="2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Where We Operate</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All of our operations are in China, the world’s largest automotive market with a total car parc of 273.6 million in 2022, according to CIC. Despite its massive scale, China’s car parc is expected to continue to grow at a CAGR of 6.4% to 373.8 million in 2027, due to the low level of car ownership relative to its population, according to the same source.</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7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8707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The impressive growth in China’s used car market is fundamentally driven by the country’s large and fast-growing car parc, coupled with its ripening car parc age and favorable government policies. The transaction volume of used car in China is expected to grow from 12.5 million in 2022 to 24.7 million in 2027 at a CAGR of 14.5%, and used car sales as a percentage of total car sales is expected to grow from 34.3% to 43.9% over the same period, according to CIC.</w:t>
      </w:r>
    </w:p>
    <w:p>
      <w:pPr>
        <w:spacing w:after="0" w:line="180"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As for new car, China has been the world’s largest new car market since 2009 in terms of sales volume according to CIC, thanks to its sustained economic growth and accelerated urbanization. China’s new car sales volume reached 24.0 million in 2022 and is expected to further increase to 31.5 million in 2027, representing a CAGR of 5.6% from 2022 to 2027, according to CIC.</w:t>
      </w:r>
    </w:p>
    <w:p>
      <w:pPr>
        <w:spacing w:after="0" w:line="176"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Additionally, China’s new car market has seen a tremendous rise of EVs, which is driving a transformative shift in new car sales away from the traditional dealer-centric model towards a direct-to-consumers, or DTC, approach. The DTC sales model requires OEMs to venture into new areas, including leads conversion, order-driven manufacturing, car delivery, and after-sales services, all with a focus on engaging directly with customers.</w:t>
      </w:r>
    </w:p>
    <w:p>
      <w:pPr>
        <w:spacing w:after="0" w:line="180"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the key participants and transaction flows within each of the used car and new car markets. The areas bordered with dotted lines represent the participants and the transaction flows we currently serve:</w:t>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percentage figures alongside the arrows represent the approximate contribution by the corresponding channel to the total transaction volume.</w:t>
      </w:r>
    </w:p>
    <w:p>
      <w:pPr>
        <w:spacing w:after="0" w:line="162" w:lineRule="exact"/>
        <w:rPr>
          <w:sz w:val="20"/>
          <w:szCs w:val="20"/>
          <w:color w:val="auto"/>
        </w:rPr>
      </w:pPr>
    </w:p>
    <w:p>
      <w:pPr>
        <w:sectPr>
          <w:pgSz w:w="11900" w:h="16838" w:orient="portrait"/>
          <w:cols w:equalWidth="0" w:num="2">
            <w:col w:w="700" w:space="340"/>
            <w:col w:w="9900"/>
          </w:cols>
          <w:pgMar w:left="320" w:top="455" w:right="639" w:bottom="1440" w:gutter="0" w:footer="0" w:header="0"/>
          <w:type w:val="continuous"/>
        </w:sect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In the used car space, auto merchants include (i) used car dealers and (ii) the used car division of authorized dealers. They account for approximately 45% and 35%, respectively, of the used cars sourced from consumers, and account for 80% and 10%, respectively, of China’s used car sales to consumers in 2022, according to CIC. Authorized dealers sell a substantial portion of their used cars (representing 25% of the total number of used cars sourced from consumers) to used car dealers, according to CIC.</w:t>
      </w:r>
    </w:p>
    <w:p>
      <w:pPr>
        <w:spacing w:after="0" w:line="180"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In the new car space, key participants mainly include OEMs, authorized dealers, and new car brokers. Authorized dealers and new car brokers represent approximately 52% and 44%, respectively, of total new car sales to consumers in 2022, according to CIC. Authorized dealers are facing challenges from the OEMs’ adoption of the DTC sales model, with new car brokers facilitating more direct sales from OEMs to consumers, especially in lower-tier cities.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Auto merchants in China’s used car and new car markets face several critical challenges.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24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For used car dealers and new car brokers:</w:t>
      </w:r>
    </w:p>
    <w:p>
      <w:pPr>
        <w:spacing w:after="0" w:line="127" w:lineRule="exact"/>
        <w:rPr>
          <w:sz w:val="20"/>
          <w:szCs w:val="20"/>
          <w:color w:val="auto"/>
        </w:rPr>
      </w:pPr>
    </w:p>
    <w:p>
      <w:pPr>
        <w:jc w:val="both"/>
        <w:ind w:left="1240" w:hanging="523"/>
        <w:spacing w:after="0" w:line="26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Large number, small scale and geographically dispersed</w:t>
      </w:r>
      <w:r>
        <w:rPr>
          <w:rFonts w:ascii="Times New Roman" w:cs="Times New Roman" w:eastAsia="Times New Roman" w:hAnsi="Times New Roman"/>
          <w:sz w:val="18"/>
          <w:szCs w:val="18"/>
          <w:color w:val="auto"/>
        </w:rPr>
        <w:t>. Used car dealers and new car brokers in China are both a large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dispersed businesses that are small in scale, resulting in a deep mismatch between demand and supply of used cars, their difficulty in maintaining credibility, and their lack of capabilities and resources needed to handle complex car transactions.</w:t>
      </w:r>
    </w:p>
    <w:p>
      <w:pPr>
        <w:spacing w:after="0" w:line="76" w:lineRule="exact"/>
        <w:rPr>
          <w:rFonts w:ascii="Times New Roman" w:cs="Times New Roman" w:eastAsia="Times New Roman" w:hAnsi="Times New Roman"/>
          <w:sz w:val="18"/>
          <w:szCs w:val="18"/>
          <w:color w:val="auto"/>
        </w:rPr>
      </w:pPr>
    </w:p>
    <w:p>
      <w:pPr>
        <w:jc w:val="both"/>
        <w:ind w:left="1240" w:hanging="523"/>
        <w:spacing w:after="0" w:line="259"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Complex nature of car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 transactions are inherently complex businesses that require a high degree of informational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operational coordination among various collaborators, both online and offline. However, very few used car dealers in China have the scale or resources to effectively coordinate with these collaborators. Many collaborators, such as individual inspectors or transporters, are themselves small in scale, geographically dispersed, and offer little assurance of quality or reliability, adding implicit costs to used car dealers.</w:t>
      </w:r>
    </w:p>
    <w:p>
      <w:pPr>
        <w:spacing w:after="0" w:line="84" w:lineRule="exact"/>
        <w:rPr>
          <w:rFonts w:ascii="Times New Roman" w:cs="Times New Roman" w:eastAsia="Times New Roman" w:hAnsi="Times New Roman"/>
          <w:sz w:val="18"/>
          <w:szCs w:val="18"/>
          <w:color w:val="auto"/>
        </w:rPr>
      </w:pPr>
    </w:p>
    <w:p>
      <w:pPr>
        <w:ind w:left="1240" w:hanging="523"/>
        <w:spacing w:after="0" w:line="28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Low credibility</w:t>
      </w:r>
      <w:r>
        <w:rPr>
          <w:rFonts w:ascii="Times New Roman" w:cs="Times New Roman" w:eastAsia="Times New Roman" w:hAnsi="Times New Roman"/>
          <w:sz w:val="18"/>
          <w:szCs w:val="18"/>
          <w:color w:val="auto"/>
        </w:rPr>
        <w:t>. Due to their limited scale and marketing resources, most used car dealers and new car brokers face challenges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limited credibility, resulting in low conversion rates.</w:t>
      </w:r>
    </w:p>
    <w:p>
      <w:pPr>
        <w:spacing w:after="0" w:line="60" w:lineRule="exact"/>
        <w:rPr>
          <w:rFonts w:ascii="Times New Roman" w:cs="Times New Roman" w:eastAsia="Times New Roman" w:hAnsi="Times New Roman"/>
          <w:sz w:val="18"/>
          <w:szCs w:val="18"/>
          <w:color w:val="auto"/>
        </w:rPr>
      </w:pPr>
    </w:p>
    <w:p>
      <w:pPr>
        <w:jc w:val="both"/>
        <w:ind w:left="1240" w:hanging="523"/>
        <w:spacing w:after="0" w:line="26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Lack of digitalization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used car dealers operate without the benefit of modern information technology. Key aspects of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from inventory sourcing to inventory management, to leads generation and customer management, to internal administration and financial analysis, are nearly all offline with key operational information scattered, unconnected and unanalyzable.</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For OEMs:</w:t>
      </w:r>
    </w:p>
    <w:p>
      <w:pPr>
        <w:spacing w:after="0" w:line="127" w:lineRule="exact"/>
        <w:rPr>
          <w:sz w:val="20"/>
          <w:szCs w:val="20"/>
          <w:color w:val="auto"/>
        </w:rPr>
      </w:pPr>
    </w:p>
    <w:p>
      <w:pPr>
        <w:jc w:val="both"/>
        <w:ind w:left="1240" w:hanging="523"/>
        <w:spacing w:after="0" w:line="26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Intensified competition and pressing need to adopt the DTC sales model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intensified competition, OEMs are faced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pressing need to establish more customer touchpoints and extensive network to reach broader consumer audiences than ever before. They must also enhance their user community operations to adapt to the DTC sales model and foster stronger direct connections with consumers.</w:t>
      </w:r>
    </w:p>
    <w:p>
      <w:pPr>
        <w:spacing w:after="0" w:line="81" w:lineRule="exact"/>
        <w:rPr>
          <w:rFonts w:ascii="Times New Roman" w:cs="Times New Roman" w:eastAsia="Times New Roman" w:hAnsi="Times New Roman"/>
          <w:sz w:val="18"/>
          <w:szCs w:val="18"/>
          <w:color w:val="auto"/>
        </w:rPr>
      </w:pPr>
    </w:p>
    <w:p>
      <w:pPr>
        <w:jc w:val="both"/>
        <w:ind w:left="1240" w:hanging="523"/>
        <w:spacing w:after="0" w:line="26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Difficulties in reaching audiences in lower-cities. </w:t>
      </w:r>
      <w:r>
        <w:rPr>
          <w:rFonts w:ascii="Times New Roman" w:cs="Times New Roman" w:eastAsia="Times New Roman" w:hAnsi="Times New Roman"/>
          <w:sz w:val="18"/>
          <w:szCs w:val="18"/>
          <w:color w:val="auto"/>
        </w:rPr>
        <w:t>OEMs encounter difficulties in connecting sales channels in lower-tier cities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lack of direct customer-facing capabilities in these regions presents challenges for OEMs. This requires OEMs to find more adaptive, cost-efficient, and agile solutions than simply relying on authorized dealers or self-operated stores.</w:t>
      </w:r>
    </w:p>
    <w:p>
      <w:pPr>
        <w:spacing w:after="0" w:line="17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In the backdrop of such a vast, evolving, and intensely competitive automotive market, we believe that our strategic position as the digital infrastructure and enabler committed to helping auto merchants overcome their challenges, rather than as one of the auto merchants, serves us well in reaping the benefits of the uptrend of China’s auto commerce industry and the fierce competition therein.</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Our Service Offerings</w:t>
      </w:r>
    </w:p>
    <w:p>
      <w:pPr>
        <w:spacing w:after="0" w:line="121"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We have built our service offering profile under the strategy of “first digitalize, then service,” with the unwavering goal of helping auto merchants increase efficiency, lower costs, and enhance profitability.</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Digitalization solutions</w:t>
      </w:r>
    </w:p>
    <w:p>
      <w:pPr>
        <w:spacing w:after="0" w:line="119"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As a pioneer in China for mobile-based software tools and systems for auto merchants, we have provided the industry with what was historically unavailable and transformed tens of thousands of dealers’ inefficient manual processes with digitalized and integrated solutions.</w:t>
      </w:r>
    </w:p>
    <w:p>
      <w:pPr>
        <w:spacing w:after="0" w:line="65" w:lineRule="exact"/>
        <w:rPr>
          <w:sz w:val="20"/>
          <w:szCs w:val="20"/>
          <w:color w:val="auto"/>
        </w:rPr>
      </w:pPr>
    </w:p>
    <w:p>
      <w:pPr>
        <w:jc w:val="both"/>
        <w:ind w:left="1240" w:hanging="523"/>
        <w:spacing w:after="0" w:line="31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used car space, we provide cloud-based, modulized digitalization solutions to used car dealers. </w:t>
      </w:r>
      <w:r>
        <w:rPr>
          <w:rFonts w:ascii="Times New Roman" w:cs="Times New Roman" w:eastAsia="Times New Roman" w:hAnsi="Times New Roman"/>
          <w:sz w:val="17"/>
          <w:szCs w:val="17"/>
          <w:i w:val="1"/>
          <w:iCs w:val="1"/>
          <w:color w:val="auto"/>
        </w:rPr>
        <w:t>DaFengChe</w:t>
      </w:r>
      <w:r>
        <w:rPr>
          <w:rFonts w:ascii="Times New Roman" w:cs="Times New Roman" w:eastAsia="Times New Roman" w:hAnsi="Times New Roman"/>
          <w:sz w:val="17"/>
          <w:szCs w:val="17"/>
          <w:color w:val="auto"/>
        </w:rPr>
        <w:t>, our flagship digitalization solution for used car dealers, laid the foundation for our competitive advantage and sustained service offering expansion.</w:t>
      </w: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1260"/>
        <w:spacing w:after="0" w:line="258" w:lineRule="auto"/>
        <w:rPr>
          <w:sz w:val="20"/>
          <w:szCs w:val="20"/>
          <w:color w:val="auto"/>
        </w:rPr>
      </w:pPr>
      <w:r>
        <w:rPr>
          <w:rFonts w:ascii="Times New Roman" w:cs="Times New Roman" w:eastAsia="Times New Roman" w:hAnsi="Times New Roman"/>
          <w:sz w:val="18"/>
          <w:szCs w:val="18"/>
          <w:color w:val="auto"/>
        </w:rPr>
        <w:t xml:space="preserve">At the very beginning,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carried the mission of digitalizing used car dealers’ day-to-day operations, starting with inventory management and CRM. Since 2013, it gradually grew from a small enterprise resource planning, or ERP application to an all-encompassing digital ally for used car dealers, covering all aspects of used car dealers’ operations, including inventory sourcing and management, marketing, sales, and business analysis and internal administration, and very importantly, easy access to various essential transaction services.</w:t>
      </w:r>
    </w:p>
    <w:p>
      <w:pPr>
        <w:spacing w:after="0" w:line="91" w:lineRule="exact"/>
        <w:rPr>
          <w:sz w:val="20"/>
          <w:szCs w:val="20"/>
          <w:color w:val="auto"/>
        </w:rPr>
      </w:pPr>
    </w:p>
    <w:p>
      <w:pPr>
        <w:jc w:val="both"/>
        <w:ind w:left="1240" w:hanging="523"/>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new car space, we build for OEMs their customer engagement systems and applications, including storefront management systems, customer-facing mobile applications and mini-programs. We offer new car brokers an integrated operating system and listing platform that address both their daily management and inventory sourcing needs.</w:t>
      </w:r>
    </w:p>
    <w:p>
      <w:pPr>
        <w:spacing w:after="0" w:line="176"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By bringing auto merchants’ operational steps and information from offline to online, we simplified many of their work processes, and made their business data traceable, analyzable, shareable, and of critical importance, useful to making business decisions.</w:t>
      </w:r>
    </w:p>
    <w:p>
      <w:pPr>
        <w:spacing w:after="0" w:line="162"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to the inherent benefits of digitalization, the invaluable industry insights we attain from our prevalent market penetration enable us to offer auto merchants unique extra value, such as industry best practices, data-driven market intelligence, dealer-to-dealer collaboration opportunities, and strategic planning support, through our digitalization solutions.</w:t>
      </w:r>
    </w:p>
    <w:p>
      <w:pPr>
        <w:spacing w:after="0" w:line="176"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To many of the auto merchants, especially used car dealers and new car brokers which are mostly SMEs, the digitalization solutions were transformative tools that greatly improved their operating efficiency, brought them higher profit, and resulted in greater competitiveness.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Transaction services</w:t>
      </w:r>
    </w:p>
    <w:p>
      <w:pPr>
        <w:spacing w:after="0" w:line="119"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Auto merchants inherently need a variety of transaction services to achieve their business goals. A large number of small and dispersed service providers are active in China’s auto commerce. Leveraging the digital operating environment that we have created for auto merchants, we offer them and their collaborators numerous transaction services that are easier to access and in higher quality.</w:t>
      </w:r>
    </w:p>
    <w:p>
      <w:pPr>
        <w:spacing w:after="0" w:line="81" w:lineRule="exact"/>
        <w:rPr>
          <w:sz w:val="20"/>
          <w:szCs w:val="20"/>
          <w:color w:val="auto"/>
        </w:rPr>
      </w:pPr>
    </w:p>
    <w:p>
      <w:pPr>
        <w:ind w:left="1240" w:hanging="523"/>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used car dealers, our transaction services primarily include B2B transaction facilitation, used car inspection and certification, financial products referral and delivery services.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new car space, our transaction services primarily include delivery, marketing and sales services, both focusing on assisting OEMs in directly engaging with end consumers.</w:t>
      </w:r>
    </w:p>
    <w:p>
      <w:pPr>
        <w:spacing w:after="0" w:line="162"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By integrating transaction services with digitalization solutions, our platform evolved into a convenient all-in-one hub that offers high-quality services with consistency and reliability to auto merchants and their collaborators.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following competitive strengths contribute to our success and differentiate us from our competitors:</w:t>
      </w:r>
    </w:p>
    <w:p>
      <w:pPr>
        <w:spacing w:after="0" w:line="131" w:lineRule="exact"/>
        <w:rPr>
          <w:sz w:val="20"/>
          <w:szCs w:val="20"/>
          <w:color w:val="auto"/>
        </w:rPr>
      </w:pPr>
    </w:p>
    <w:p>
      <w:pPr>
        <w:ind w:left="1240" w:hanging="52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Leading Auto Commerce Enabler in China with Significant Incumbent Advantage</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Business Model Balancing Stability and Growth</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Service Offerings Creating Exceptional Customer Stickiness</w:t>
      </w:r>
    </w:p>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8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Data-powered Business Intelligence for Auto Merchants’ Success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Visionary Management Team with Industry Expertise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intend to focus on the following key strategies to solidify our market leadership and achieve sustainable growth:</w:t>
      </w:r>
    </w:p>
    <w:p>
      <w:pPr>
        <w:spacing w:after="0" w:line="131" w:lineRule="exact"/>
        <w:rPr>
          <w:sz w:val="20"/>
          <w:szCs w:val="20"/>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Leadership in Digitalizing Auto Commerce in China</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Penetration Rate of Our Transaction Services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AI-enabled Applications to Empower Auto Merchants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Our Capabilities to Expand Globally</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An investment in our ADSs involves significant risks. You should consider carefully all of the information in this prospectus, including the risks and uncertainties described below, before making an investment in our ADSs. Below is a summary of material risks we face, organized under relevant headings. These risks are discussed more comprehensively in the section titled “Risk Factors.”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35" w:lineRule="exact"/>
        <w:rPr>
          <w:sz w:val="20"/>
          <w:szCs w:val="20"/>
          <w:color w:val="auto"/>
        </w:rPr>
      </w:pPr>
    </w:p>
    <w:p>
      <w:pPr>
        <w:ind w:left="1240" w:right="2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provide a differentiated and superior customer experience and satisfactory services, the size of our customer base and the demand for our services could decline, and our business would be materially and adversely affected.</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continuously develop new services to meet the evolving needs of customers, or achieve widespread customer adoption of those services, could negatively impact our business and financial results.</w:t>
      </w:r>
    </w:p>
    <w:p>
      <w:pPr>
        <w:spacing w:after="0" w:line="67" w:lineRule="exact"/>
        <w:rPr>
          <w:rFonts w:ascii="Times New Roman" w:cs="Times New Roman" w:eastAsia="Times New Roman" w:hAnsi="Times New Roman"/>
          <w:sz w:val="18"/>
          <w:szCs w:val="18"/>
          <w:color w:val="auto"/>
        </w:rPr>
      </w:pPr>
    </w:p>
    <w:p>
      <w:pPr>
        <w:jc w:val="both"/>
        <w:ind w:left="1240" w:right="20" w:hanging="523"/>
        <w:spacing w:after="0" w:line="266"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substantially depends on our relationship with our customers, primarily used car dealers and OEMs and their usage of our services. If a significant number of our customers cease to use or do not keep or increase the usage of our services or if we are unable to develop relationship with new customers, our business and financial results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performance is not indicative of our future growth, and our revenue growth in the future is uncertain.</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have negative cash flows from operations, and we may not be able to achieve or sustain profitability in the future.</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Corporate Structure</w:t>
      </w:r>
    </w:p>
    <w:p>
      <w:pPr>
        <w:spacing w:after="0" w:line="135" w:lineRule="exact"/>
        <w:rPr>
          <w:sz w:val="20"/>
          <w:szCs w:val="20"/>
          <w:color w:val="auto"/>
        </w:rPr>
      </w:pPr>
    </w:p>
    <w:p>
      <w:pPr>
        <w:jc w:val="both"/>
        <w:ind w:left="1240" w:hanging="523"/>
        <w:spacing w:after="0" w:line="25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application of current and future PRC laws, regulations, and rules relating to the agreements that establish the VIE structure for our operations in China, including potential future actions by the PRC government, are still evolving, which could affect the enforceability of our contractual arrangements with the VIEs and, consequently, significantly affect our financial condition and results of operations. If the PRC government considers our contractual arrangements, which are governed by PRC law,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41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7417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523"/>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VIEs or their shareholders to perform their obligations under our contractual arrangements with them would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exist with respect to the interpretation and implementation of the enacted Foreign Investment Law and how it may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VIEs and their shareholders for a large portion of our business operations which may not be as effective as equity ownership in providing operational control.</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35" w:lineRule="exact"/>
        <w:rPr>
          <w:sz w:val="20"/>
          <w:szCs w:val="20"/>
          <w:color w:val="auto"/>
        </w:rPr>
      </w:pPr>
    </w:p>
    <w:p>
      <w:pPr>
        <w:ind w:left="1240" w:hanging="523"/>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PRC legal system, including uncertainties regarding the enforcement of laws, and sudden or unexpected changes in laws and regulations in China could adversely affect us and limit the legal protections available to you and us.</w:t>
      </w:r>
    </w:p>
    <w:p>
      <w:pPr>
        <w:spacing w:after="0" w:line="67" w:lineRule="exact"/>
        <w:rPr>
          <w:rFonts w:ascii="Times New Roman" w:cs="Times New Roman" w:eastAsia="Times New Roman" w:hAnsi="Times New Roman"/>
          <w:sz w:val="18"/>
          <w:szCs w:val="18"/>
          <w:color w:val="auto"/>
        </w:rPr>
      </w:pPr>
    </w:p>
    <w:p>
      <w:pPr>
        <w:jc w:val="both"/>
        <w:ind w:left="1240" w:hanging="523"/>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perceived failure by us to comply with the anti-monopoly and competition laws and regulations in the PRC may result in governmental investigations, enforcement actions, litigation or claims against us and could have an adverse effect on business, reputation, results of operations and financial condition.</w:t>
      </w:r>
    </w:p>
    <w:p>
      <w:pPr>
        <w:spacing w:after="0" w:line="81"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PCAOB is prevented from fully evaluating audits and quality control procedures of our auditor, investors may be deprived of the benefits of such PCAOB inspections.</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Foreign Companies Accountable Act may result in the de-listing of the ADSs. The delisting of our ADSs, or the threat of their being delisted, may materially and adversely affect the value of your investment.</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litigation and negative publicity surrounding China-based companies listed in the United States may negatively impact the trading price of our ADSs.</w:t>
      </w:r>
    </w:p>
    <w:p>
      <w:pPr>
        <w:spacing w:after="0" w:line="67" w:lineRule="exact"/>
        <w:rPr>
          <w:rFonts w:ascii="Times New Roman" w:cs="Times New Roman" w:eastAsia="Times New Roman" w:hAnsi="Times New Roman"/>
          <w:sz w:val="18"/>
          <w:szCs w:val="18"/>
          <w:color w:val="auto"/>
        </w:rPr>
      </w:pPr>
    </w:p>
    <w:p>
      <w:pPr>
        <w:jc w:val="both"/>
        <w:ind w:left="1240" w:hanging="523"/>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instituted by the SEC against Chinese affiliates of the “big four” accounting firms, including our independent registered public accounting firm, could result in financial statements being determined to not be incompliance with the requirements of the Exchange Act.</w:t>
      </w:r>
    </w:p>
    <w:p>
      <w:pPr>
        <w:spacing w:after="0" w:line="81" w:lineRule="exact"/>
        <w:rPr>
          <w:rFonts w:ascii="Times New Roman" w:cs="Times New Roman" w:eastAsia="Times New Roman" w:hAnsi="Times New Roman"/>
          <w:sz w:val="18"/>
          <w:szCs w:val="18"/>
          <w:color w:val="auto"/>
        </w:rPr>
      </w:pPr>
    </w:p>
    <w:p>
      <w:pPr>
        <w:jc w:val="both"/>
        <w:ind w:left="1240" w:right="20" w:hanging="523"/>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susceptible to changes in government policies, including policies on automobile purchases, ownership, taxation, vehicle title transfers, and used car transactions across regions and provinces. Failure to adequately respond to such changes could adversely affect our business.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 and this Offering</w:t>
      </w:r>
    </w:p>
    <w:p>
      <w:pPr>
        <w:spacing w:after="0" w:line="135" w:lineRule="exact"/>
        <w:rPr>
          <w:sz w:val="20"/>
          <w:szCs w:val="20"/>
          <w:color w:val="auto"/>
        </w:rPr>
      </w:pPr>
    </w:p>
    <w:p>
      <w:pPr>
        <w:ind w:left="1240" w:hanging="523"/>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Class A ordinary shares or the ADSs may not develop and the trading price for the ADSs may fluctuate significantly.</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additional costs as a result of being a public company, particularly after we cease to qualify as an emerging growth company.</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rely on the judgment of our management as to the use of the net proceeds from this offering, and such use may not produce income or increase our ADS price.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initial public offering price is substantially higher than our net tangible book value per share, you will experience immediate and substantial dilution.</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Permission Required from the PRC Authorities for Our Operations and Offerings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Prerequisite Regulatory Licenses, Permits and Approvals</w:t>
      </w:r>
    </w:p>
    <w:p>
      <w:pPr>
        <w:spacing w:after="0" w:line="121" w:lineRule="exact"/>
        <w:rPr>
          <w:sz w:val="20"/>
          <w:szCs w:val="20"/>
          <w:color w:val="auto"/>
        </w:rPr>
      </w:pPr>
    </w:p>
    <w:p>
      <w:pPr>
        <w:jc w:val="both"/>
        <w:ind w:left="300" w:firstLine="426"/>
        <w:spacing w:after="0" w:line="252" w:lineRule="auto"/>
        <w:rPr>
          <w:sz w:val="20"/>
          <w:szCs w:val="20"/>
          <w:color w:val="auto"/>
        </w:rPr>
      </w:pPr>
      <w:r>
        <w:rPr>
          <w:rFonts w:ascii="Times New Roman" w:cs="Times New Roman" w:eastAsia="Times New Roman" w:hAnsi="Times New Roman"/>
          <w:sz w:val="18"/>
          <w:szCs w:val="18"/>
          <w:color w:val="auto"/>
        </w:rPr>
        <w:t>Except as disclosed in “Risk Factors—Risk Related to Our Business and Industry—Failure to obtain licenses, permits and approvals from, or complete filings with, competent regulatory authorities required for our business operations may materially and adversely affect our business, financial condition and results of operations,” based on the advice of our PRC legal advisor, we believe our PRC subsidiaries and the VIEs have obtained the material requisite licenses and permits from, or completed the necessary filings with, the PRC government authorities for their business operations in China. These licenses, permits and filings include Internet Content Provide License (the “ICP License”), Electronic Data Intercharge License (the “EDI License”), Filing of Operating Entities Engaged in Used Car Related Business, Auction Permit and Road Transportation Operation Permit, among others. Given the changes and developments of interpretation and implementation of relevant laws and regulations and the enforcement practice by relevant government authorities, we may be required to obtain additional licenses, permits, or approvals or complete additional filings for our and the VIEs’ business operations in the future. If we or any of the VIEs is found to be in violation of any existing or future PRC laws or regulations, or fail to obtain or maintain any of the required permits or approvals in a timely manner, or at all, the competent PRC regulatory authorities would have discretion to take action regarding such violations or failures. In addition, if we had inadvertently concluded that any approvals, permits, registrations or filings were not required, or if applicable laws, regulations or interpretations change in a way that requires us to obtain additional approvals, permits, registrations or filings in the future, we may be unable to obtain such necessary approvals, permits, registrations or filings in a timely manner, or at all.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operations. For risks relating to licenses and approvals required for our operations in China, see “Risk Factors—Risk Related to Our Business and Industry—Failure to obtain licenses, permits and approvals from, or complete filings with, competent regulatory authorities required for our business operations may materially and adversely affect our business, financial condition and results of operations.”</w:t>
      </w:r>
    </w:p>
    <w:p>
      <w:pPr>
        <w:spacing w:after="0" w:line="2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Review</w:t>
      </w:r>
    </w:p>
    <w:p>
      <w:pPr>
        <w:spacing w:after="0" w:line="121" w:lineRule="exact"/>
        <w:rPr>
          <w:sz w:val="20"/>
          <w:szCs w:val="20"/>
          <w:color w:val="auto"/>
        </w:rPr>
      </w:pPr>
    </w:p>
    <w:p>
      <w:pPr>
        <w:jc w:val="both"/>
        <w:ind w:left="300" w:firstLine="426"/>
        <w:spacing w:after="0" w:line="256"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(the “CAC”), and 12 other PRC government authorities jointly published the amended Cybersecurity Review Measures, which came into effect on February 15, 2022. The final Cybersecurity Review Measures provide that a “network platform operator” that possesses personal information of more than one million users and seeks a listing in a foreign country must apply for a cybersecurity review. Further, the competent PRC governmental authorities have the authority to initiate a cybersecurity review even without a specific application against a company if they determine certain network products, services, or data processing activities of such company affect or may affect national security.</w:t>
      </w:r>
    </w:p>
    <w:p>
      <w:pPr>
        <w:spacing w:after="0" w:line="187"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As a network platform operator who possesses personal information of more than one million users for purposes of the Cybersecurity Review Measures, we have applied for and completed a cybersecurity review with respect to our proposed overseas listing pursuant to the Cybersecurity Review Measures.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CSRC Filing Requirements</w:t>
      </w:r>
    </w:p>
    <w:p>
      <w:pPr>
        <w:spacing w:after="0" w:line="121"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On February 17, 2023, the CSRC promulgated Trial Administrative Measures of the Overseas Securities Offering and Listing by Domestic Companies, along with five supporting guidelines, or the New Overseas Listing Rules. These regulations became effective on March 31, 2023. According to the New Overseas Listing Rules, PRC domestic companies that seek to offer and list securities in overseas markets, either through direct or indirect means, are required to complete the filing procedure with the CSRC and report relevant information.</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56" w:lineRule="auto"/>
        <w:rPr>
          <w:sz w:val="20"/>
          <w:szCs w:val="20"/>
          <w:color w:val="auto"/>
        </w:rPr>
      </w:pPr>
      <w:r>
        <w:rPr>
          <w:rFonts w:ascii="Times New Roman" w:cs="Times New Roman" w:eastAsia="Times New Roman" w:hAnsi="Times New Roman"/>
          <w:sz w:val="18"/>
          <w:szCs w:val="18"/>
          <w:color w:val="auto"/>
        </w:rPr>
        <w:t>The New Overseas Listing Rules provide that if the issuer meets the following criteria at the same time, the overseas securities offering and listing conducted by such issuer will be deemed as an indirect overseas offering subject to the filing procedures as set forth under the New Overseas Listing Rules: (i) 50% or more of the issuer’s operating revenue, total profit, total assets or net assets as documented in its audited combined financial statements for the most recent accounting year is accounted for by domestic companies; and (ii) the main parts of the issuer’s business activities are conducted in the mainland China, or its main place(s) of business are located in the mainland China, or the senior managers in charge of its business operations and management are mostly Chinese citizens or domiciled in the mainland China.</w:t>
      </w:r>
    </w:p>
    <w:p>
      <w:pPr>
        <w:spacing w:after="0" w:line="187" w:lineRule="exact"/>
        <w:rPr>
          <w:sz w:val="20"/>
          <w:szCs w:val="20"/>
          <w:color w:val="auto"/>
        </w:rPr>
      </w:pPr>
    </w:p>
    <w:p>
      <w:pPr>
        <w:jc w:val="both"/>
        <w:ind w:left="300" w:firstLine="426"/>
        <w:spacing w:after="0" w:line="252" w:lineRule="auto"/>
        <w:rPr>
          <w:sz w:val="20"/>
          <w:szCs w:val="20"/>
          <w:color w:val="auto"/>
        </w:rPr>
      </w:pPr>
      <w:r>
        <w:rPr>
          <w:rFonts w:ascii="Times New Roman" w:cs="Times New Roman" w:eastAsia="Times New Roman" w:hAnsi="Times New Roman"/>
          <w:sz w:val="18"/>
          <w:szCs w:val="18"/>
          <w:color w:val="auto"/>
        </w:rPr>
        <w:t>According to the New Overseas Listing Rules, with respect to this offering, we shall file with the CSRC within three business days after our initial submission of the registration statement to the SEC for its nonpublic review, and we shall report to the CSRC within three business days after our first public filing of the registration statement with the SEC. The New Overseas Listing Rules also require us to report to the CSRC upon the completion of this offering. We expect to submit to the CSRC our application for the required filing regarding this offering within the timeframe required under the New Overseas Listing Rules after our first submission of the registration statement to the SEC for its nonpublic review. We expect to complete the filing procedures with the CSRC prior to the completion of this offering. Moreover, the New Overseas Listing Rules mandate that overseas-listed issuers conducting follow-on securities offerings in the same overseas market must file with the CSRC within three business days after the completion of such offering. Additionally, issuers listed overseas are required to report “material events” to the CSRC within three business days following the occurrence and public announcement of such events. These material events include change of control, voluntary delisting or being ordered to delist, and investigations or penalties by overseas securities regulatory bodies, among other things. Failure to fulfill these obligations to make timely filings or reports to the CSRC may result in fines, legal or administrative sanctions and other adverse consequences and could materially and adversely affect our ability to raise funds in overseas markets. For details of the associated risks, see “Risk Factors—Risks Related to the ADSs and this Offering—The filing, approval or other administration requirements of the China Securities Regulatory Commission or other PRC regulatory agencies may be required in connection with this offering under PRC law.”</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the Holding Foreign Companies Accountable Act</w:t>
      </w:r>
    </w:p>
    <w:p>
      <w:pPr>
        <w:spacing w:after="0" w:line="121" w:lineRule="exact"/>
        <w:rPr>
          <w:sz w:val="20"/>
          <w:szCs w:val="20"/>
          <w:color w:val="auto"/>
        </w:rPr>
      </w:pPr>
    </w:p>
    <w:p>
      <w:pPr>
        <w:jc w:val="both"/>
        <w:ind w:left="300" w:firstLine="426"/>
        <w:spacing w:after="0" w:line="252" w:lineRule="auto"/>
        <w:rPr>
          <w:sz w:val="20"/>
          <w:szCs w:val="20"/>
          <w:color w:val="auto"/>
        </w:rPr>
      </w:pPr>
      <w:r>
        <w:rPr>
          <w:rFonts w:ascii="Times New Roman" w:cs="Times New Roman" w:eastAsia="Times New Roman" w:hAnsi="Times New Roman"/>
          <w:sz w:val="18"/>
          <w:szCs w:val="18"/>
          <w:color w:val="auto"/>
        </w:rPr>
        <w:t>Trading in our securities on U.S. markets, including the Nasdaq, may be prohibited under the Holding Foreign Companies Accountable Act (the “HFCAA”) if the Public Company Accounting Oversight Board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early 2023 and beyond. The PCAOB is required under the HFCAA to make its determination on an annual basis with regards to its ability to inspect and investigate completely accounting firms based in the mainland China and Hong Kong. The possibility of being a “Commission-Identified Issuer” and the risk of delisting could continue to adversely affect the trading price of our securities. If the PCAOB determines in the future that it no longer has full access to inspect and investigate accounting firms headquartered in mainland</w:t>
      </w: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18"/>
          <w:szCs w:val="18"/>
          <w:color w:val="auto"/>
        </w:rPr>
        <w:t>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 For more details, see “Risk Factors—Risks Related to Doing Business in China—The evolving PRC legal system, including uncertainties regarding the enforcement of laws, and sudden or unexpected changes in laws and regulations in China could adversely affect us and limit the legal protections available to you and us,” “Risk Factors—Risks Related to Doing Business in China—If the PCAOB is prevented from fully evaluating audits and quality control procedures of our auditor, investors may be deprived of the benefits of such PCAOB inspections,” and “Risk Factors—Risks Related to Doing Business in China—The Holding Foreign Companies Accountable Act may result in the de-listing of the ADSs. The delisting of our ADSs, or the threat of their being delisted, may materially and adversely affect the value of your investment.”</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Arrangements and Corporate Structure</w:t>
      </w:r>
    </w:p>
    <w:p>
      <w:pPr>
        <w:spacing w:after="0" w:line="121"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 Cayman Islands company and currently conduct substantially all of our business operations in the PRC through the WFOEs and other PRC subsidiaries and the VIEs, as well as their respective subsidiaries. Hangzhou Dasouche Information Technology Service Co., Ltd. and CheYiPai (Beijing) Automotive Technology Service Co., Ltd. conduct their businesses mainly through Hangzhou Souche and Beijing Peak, namely the VIEs, through a series of contractual arrangements. These business operations account for a significant portion of our businesses operated in the PRC. The VIEs and their subsidiaries generated 61.6%, 46.6% and 45.2% of our total revenues in 2021 and 2022 and for the six months ended June 30, 2023, respectively. As of December 31, 2021 and 2022 and June 30, 2023, the total current assets and non-current assets of the VIEs and their subsidiaries accounted for 78.7%, 63.8% and 60.2% of our total assets, respectively. The VIEs also hold certain key licenses and permits that are necessary for us to conduct our business.</w:t>
      </w:r>
    </w:p>
    <w:p>
      <w:pPr>
        <w:spacing w:after="0" w:line="192"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operate our businesses using the VIE structure because PRC laws and regulations restrict foreign investment in companies that engage in value-added telecommunications services. The contractual arrangements we have entered into with the VIEs give us the power to direct the activities that most significantly affect the economic performance of the VIEs, and receive substantially all of the economic benefits of the VIEs, and we have an exclusive option to purchase all or part of the equity interests in the VIEs when and to the extent permitted by PRC law. These contractual arrangements include the exclusive business cooperation agreement, exclusive equity interest option agreement, voting proxy agreement, share pledge agreement, individual shareholder undertaking and, where applicable, spousal undertaking. As a result of these contractual arrangements, as well as the financial support undertaking letters entered into between us and our VIEs and voting proxy agreements entered into between us and our WFOEs, we are considered the primary beneficiary of the VIEs and combine or consolidate their operating results in our financial statements under U.S. GAAP.</w:t>
      </w:r>
    </w:p>
    <w:p>
      <w:pPr>
        <w:spacing w:after="0" w:line="188"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We do not have any equity interests in the VIEs which are owned by certain nominee shareholders. Investors in our equity securities or the ADSs should note that they are purchasing equity securities of a Cayman Islands holding company rather than equity securities issued by our subsidiaries or the VIEs. Neither such investors nor the holding company itself have an equity ownership in, direct investment in, or control of, through such ownership or investment, the VIEs. Investors who are non-PRC residents may be prohibited from directly holding equity interests in the VIEs under current PRC laws and regulations.</w:t>
      </w:r>
    </w:p>
    <w:p>
      <w:pPr>
        <w:spacing w:after="0" w:line="183" w:lineRule="exact"/>
        <w:rPr>
          <w:sz w:val="20"/>
          <w:szCs w:val="20"/>
          <w:color w:val="auto"/>
        </w:rPr>
      </w:pPr>
    </w:p>
    <w:p>
      <w:pPr>
        <w:jc w:val="both"/>
        <w:ind w:left="300" w:firstLine="426"/>
        <w:spacing w:after="0" w:line="256" w:lineRule="auto"/>
        <w:rPr>
          <w:sz w:val="20"/>
          <w:szCs w:val="20"/>
          <w:color w:val="auto"/>
        </w:rPr>
      </w:pPr>
      <w:r>
        <w:rPr>
          <w:rFonts w:ascii="Times New Roman" w:cs="Times New Roman" w:eastAsia="Times New Roman" w:hAnsi="Times New Roman"/>
          <w:sz w:val="18"/>
          <w:szCs w:val="18"/>
          <w:color w:val="auto"/>
        </w:rPr>
        <w:t>Although our contractual arrangements with the VIEs allow us to be considered the primary beneficiary of the VIEs, which gives us the ability to combine or consolidate the VIEs’ operating results in our financial statements under the U.S. GAAP, such ability may be less effective than equity ownership, and we could face heightened risks and costs in enforcing these contractual arrangements, because the interpretation and application of current and future PRC laws, regulations, and rules relating to the legality and enforceability of these contractual arrangements remain uncertain and are still evolving. For the risks related to the nominee shareholders of DSC’s VIEs, see “Risk Factors—Risks Related to Corporate Structure—Any Failure by the VIEs</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53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8"/>
          <w:szCs w:val="18"/>
          <w:color w:val="auto"/>
        </w:rPr>
        <w:t>or their shareholders to perform their obligations under our contractual arrangements with them would have a material adverse effect on our business.” If the PRC government finds such agreements to be illegal, we could be subject to penalties or be required to relinquish our interests in the VIEs. As of the date of this prospectus, our contractual arrangements with the VIEs have not been tested in any of the PRC courts. If the PRC government considers that our contractual arrangements with the VIEs do not comply with the PRC regulations on direct foreign investment in the relevant industries, or if the relevant PRC laws and regulations or the interpretation thereof change in the future, we could be subject to severe penalties or be forced to relinquish our interests in the VIEs, forfeit our rights under the contractual arrangements, or otherwise significantly change our corporate structure. DSC and investors in the ADSs face uncertainty about potential future actions by the PRC government, which could affect the enforceability of our contractual arrangements with the VIEs and, consequently, significantly affect the financial condition and results of operations of DSC. If we are unable to assert our right to control the assets of the VIEs, or if the PRC government were to prohibit the VIE structure entirely, it could lead to a material adverse change in our operations, and the ADSs may significantly decline in value or become worthless. See “Risk Factors—Risks Related to Corporate Structure.”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History and Organizational Structure</w:t>
      </w:r>
    </w:p>
    <w:p>
      <w:pPr>
        <w:spacing w:after="0" w:line="121"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Our current businesses date back to 2012 when we operated through Beijing Souche Network Technology Co., Ltd., or Beijing Souche, a PRC entity incorporated in November 2012. Souche Holdings Ltd, a company incorporated in the Cayman Islands in January 2013, subsequently became the holding company of Beijing Souche. Between 2017 and 2020, Souche Holdings Ltd acquired numerous businesses, such as used car inspection and certification services and delivery services, which are important parts of the businesses we operate today. In addition, Souche Holdings Ltd also owned and operated certain vehicle sales and leasing business through a number of other operating entities.</w:t>
      </w:r>
    </w:p>
    <w:p>
      <w:pPr>
        <w:spacing w:after="0" w:line="183"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We incorporated DSC Holdings Ltd. as our new ultimate holding company in the Cayman Islands in July 2021 and completed a series of transactions, which we refer to collectively as the “Restructuring.” As part of the Restructuring,</w:t>
      </w:r>
    </w:p>
    <w:p>
      <w:pPr>
        <w:spacing w:after="0" w:line="67" w:lineRule="exact"/>
        <w:rPr>
          <w:sz w:val="20"/>
          <w:szCs w:val="20"/>
          <w:color w:val="auto"/>
        </w:rPr>
      </w:pPr>
    </w:p>
    <w:p>
      <w:pPr>
        <w:jc w:val="both"/>
        <w:ind w:left="1240" w:right="20" w:hanging="523"/>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Souche Holdings Ltd received ordinary shares and/or convertible redeemable preferred shares of DSC Holdings Ltd. such that their equity interests in DSC Holdings Ltd. are in substance the same as their interests in Souche Holdings Ltd immediately prior to the Restructuring;</w:t>
      </w:r>
    </w:p>
    <w:p>
      <w:pPr>
        <w:spacing w:after="0" w:line="81" w:lineRule="exact"/>
        <w:rPr>
          <w:rFonts w:ascii="Times New Roman" w:cs="Times New Roman" w:eastAsia="Times New Roman" w:hAnsi="Times New Roman"/>
          <w:sz w:val="18"/>
          <w:szCs w:val="18"/>
          <w:color w:val="auto"/>
        </w:rPr>
      </w:pPr>
    </w:p>
    <w:p>
      <w:pPr>
        <w:jc w:val="both"/>
        <w:ind w:left="1240" w:right="20" w:hanging="523"/>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series of transactions, DSC Holdings Ltd. acquired the ownership and became the ultimate holding company of the entities through which our current businesses are conducted, namely Hangzhou Dasouche Information Technology Service Co., Ltd., CheYiPai (Beijing) Automotive Technology Service Co., Ltd. and Sichuan Dasouche Software Technology Co., Ltd.; and</w:t>
      </w:r>
    </w:p>
    <w:p>
      <w:pPr>
        <w:spacing w:after="0" w:line="81" w:lineRule="exact"/>
        <w:rPr>
          <w:rFonts w:ascii="Times New Roman" w:cs="Times New Roman" w:eastAsia="Times New Roman" w:hAnsi="Times New Roman"/>
          <w:sz w:val="18"/>
          <w:szCs w:val="18"/>
          <w:color w:val="auto"/>
        </w:rPr>
      </w:pPr>
    </w:p>
    <w:p>
      <w:pPr>
        <w:jc w:val="both"/>
        <w:ind w:left="1240" w:hanging="523"/>
        <w:spacing w:after="0" w:line="261"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Dasouche Information Technology Service Co., Ltd. and CheYiPai (Beijing) Automotive Technology Service Co., Ltd., which we refer to as our WFOEs, have entered into certain contractual arrangements directly with Hangzhou Souche and Beijing Peak, which we refer to as the “VIEs,” and their respective shareholders. See “Corporate History and Structure—Contractual Arrangements with the VIEs and Their Shareholders.”</w:t>
      </w:r>
    </w:p>
    <w:p>
      <w:pPr>
        <w:spacing w:after="0" w:line="180"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Following the Restructuring, (i) DSC Holdings Ltd. became the ultimate holding company of our current business operations; and (ii) the vehicle sales and leasing business remains to be owned and operated by Souche Holdings Ltd.</w:t>
      </w:r>
    </w:p>
    <w:p>
      <w:pPr>
        <w:spacing w:after="0" w:line="162"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shareholding percentages and rights of the shareholders of DSC Holdings Ltd. are identical to their interests in Souche Holdings Ltd immediately before and after the Restructuring. Accordingly, the Restructuring is accounted for as a transaction involving common ownership for financial reporting purposes because the same group of shareholders have identical ownership over the Company before and after the Restructuring.</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33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In August 2023, DSC Holdings Ltd. completed its Series G financing pursuant to which CTZC Limited purchased 24,422,238 Series G preferred shares for a total consideration of RMB300 million. For a description of issuances of our securities, see “Description of Share Capital— History of Securities Issuances.”</w:t>
      </w:r>
    </w:p>
    <w:p>
      <w:pPr>
        <w:spacing w:after="0" w:line="176"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significant subsidiaries as that term is defined under Section 1-02 of Regulation S-X under the Securities Act, the VIEs and certain other operating entities, as of the date of this prospectus.</w:t>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Notes: 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shareholders of Hangzhou Souche Network Technology Co., Ltd. are Mr. Junhong Yao (92%), our founder, director and chief</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executive officer, and Mr. Liyu Zhang (8%), our co-founder, director and 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shareholders of Beijing Peak Technology Co., Ltd. are Mr. Junhong Yao (92%) and Mr. Liyu Zhang (8%).</w:t>
      </w:r>
    </w:p>
    <w:p>
      <w:pPr>
        <w:spacing w:after="0" w:line="200" w:lineRule="exact"/>
        <w:rPr>
          <w:sz w:val="20"/>
          <w:szCs w:val="20"/>
          <w:color w:val="auto"/>
        </w:rPr>
      </w:pPr>
    </w:p>
    <w:p>
      <w:pPr>
        <w:sectPr>
          <w:pgSz w:w="11900" w:h="16838" w:orient="portrait"/>
          <w:cols w:equalWidth="0" w:num="2">
            <w:col w:w="1120" w:space="120"/>
            <w:col w:w="9700"/>
          </w:cols>
          <w:pgMar w:left="320" w:top="455" w:right="639" w:bottom="1440" w:gutter="0" w:footer="0" w:header="0"/>
          <w:type w:val="continuous"/>
        </w:sectPr>
      </w:pP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of Funds and Other Assets through Our Organization</w:t>
      </w:r>
    </w:p>
    <w:p>
      <w:pPr>
        <w:spacing w:after="0" w:line="121" w:lineRule="exact"/>
        <w:rPr>
          <w:sz w:val="20"/>
          <w:szCs w:val="20"/>
          <w:color w:val="auto"/>
        </w:rPr>
      </w:pPr>
    </w:p>
    <w:p>
      <w:pPr>
        <w:ind w:left="300" w:right="60" w:firstLine="426"/>
        <w:spacing w:after="0" w:line="252" w:lineRule="auto"/>
        <w:rPr>
          <w:sz w:val="20"/>
          <w:szCs w:val="20"/>
          <w:color w:val="auto"/>
        </w:rPr>
      </w:pPr>
      <w:r>
        <w:rPr>
          <w:rFonts w:ascii="Times New Roman" w:cs="Times New Roman" w:eastAsia="Times New Roman" w:hAnsi="Times New Roman"/>
          <w:sz w:val="18"/>
          <w:szCs w:val="18"/>
          <w:color w:val="auto"/>
        </w:rPr>
        <w:t>DSC, our Cayman Islands holding company, may transfer cash to its wholly-owned subsidiaries incorporated in the Cayman Islands, the British Virgin Islands, and Hong Kong through capital injections and intra-group loans. Similarly, DSC’s wholly owned subsidiaries in Hong Kong may transfer cash to our WFOEs and other PRC subsidiaries, through capital injections and intra-group loans. Cash is also transferred through our organization by way of intra-group transactions to pay for services or goods provided. Additionally, if our WFOEs and other PRC subsidiaries realize accumulated after-tax profits, they may, upon satisfaction of relevant statutory conditions and procedures, pay dividends or distribute earnings to DSC’s Hong Kong subsidiaries as the WFOEs’ and other PRC subsidiaries’ shareholders. These Hong Kong subsidiaries may, in turn, transfer cash to their parent companies incorporated in the Cayman Islands or the British Virgin Islands through dividends or other distributions. With necessary funds, DSC may pay dividends or make other distributions to U.S. investors and service any debt it may have incurred outside of the PRC. Under current PRC laws and regulations, we are permitted to transfer funds to the VIEs through loans, rather than through capital contributions, since we do not own equity interests in the VIEs. In 2021 and 2022 and for the six months ended June 30, 2023, the VIEs paid RMB62.5 million, RMB37.1 million (US$5.1 million) and RMB12.6 million (US$1.7 million), respectively, to the WFOEs for certain administrative and delivery services the WFOEs provided to the VIEs, or as intra-group loans provided by the VIEs to the WFOEs to meet their working capital needs. Furthermore, in 2021 and 2022 and for the six months ended June 30, 2023, the WFOEs transferred funds of</w:t>
      </w:r>
    </w:p>
    <w:p>
      <w:pPr>
        <w:spacing w:after="0" w:line="1" w:lineRule="exact"/>
        <w:rPr>
          <w:sz w:val="20"/>
          <w:szCs w:val="20"/>
          <w:color w:val="auto"/>
        </w:rPr>
      </w:pPr>
    </w:p>
    <w:p>
      <w:pPr>
        <w:ind w:left="300" w:right="160"/>
        <w:spacing w:after="0" w:line="255" w:lineRule="auto"/>
        <w:rPr>
          <w:sz w:val="20"/>
          <w:szCs w:val="20"/>
          <w:color w:val="auto"/>
        </w:rPr>
      </w:pPr>
      <w:r>
        <w:rPr>
          <w:rFonts w:ascii="Times New Roman" w:cs="Times New Roman" w:eastAsia="Times New Roman" w:hAnsi="Times New Roman"/>
          <w:sz w:val="18"/>
          <w:szCs w:val="18"/>
          <w:color w:val="auto"/>
        </w:rPr>
        <w:t>RMB72.7 million, RMB23.1 million (US$3.2 million) and RMB3.5 million (US$0.5 million), respectively, to the VIEs as payment of certain delivery, marketing and customer engagement solutions provided by VIEs to WFOEs or as intra-group loans provided by the WFOEs to the VIEs to meet their working</w:t>
      </w: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4" w:lineRule="auto"/>
        <w:rPr>
          <w:sz w:val="20"/>
          <w:szCs w:val="20"/>
          <w:color w:val="auto"/>
        </w:rPr>
      </w:pPr>
      <w:r>
        <w:rPr>
          <w:rFonts w:ascii="Times New Roman" w:cs="Times New Roman" w:eastAsia="Times New Roman" w:hAnsi="Times New Roman"/>
          <w:sz w:val="18"/>
          <w:szCs w:val="18"/>
          <w:color w:val="auto"/>
        </w:rPr>
        <w:t>capital needs. For details, see “Prospectus Summary—Our Summary Combined and Consolidated Financial Data and Operating Data—VIE Consolidation Schedule.” As of the date of this prospectus, none of the WFOEs or our other PRC subsidiaries has paid any dividend or made any distributions to their respective shareholders. DSC has not previously declared or paid any cash dividend or dividend in kind, and has no plan to declare or pay any dividends in the near future. For more details, see “Corporate History and Structure—Transfer of Funds and Other Assets through Our Organization,” “Corporate History and Structure—Regulatory Requirements on Foreign Exchange and the Ability to Transfer Cash Between Entities, Across Borders and to U.S. Investors” and “Corporate History and Structure—Dividends or Distributions Made to the Company and U.S. Investors and Tax Consequences.” We currently have not maintained any cash management policies that dictate the purpose, amount and procedure of cash transfers between the Company, our WFOEs and other PRC subsidiaries, the VIEs, or the investors. Rather, the funds can be transferred in accordance with the applicable laws and regulations in the PRC and other jurisdictions.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or Distributions Made to the Company and U.S. Investors and Tax Consequences</w:t>
      </w:r>
    </w:p>
    <w:p>
      <w:pPr>
        <w:spacing w:after="0" w:line="121"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WFOEs and other PRC subsidiaries have not paid any dividends or made any distributions to the Company, and the Company and the VIEs have not paid any dividends or made any distributions to their respective shareholders either.</w:t>
      </w:r>
    </w:p>
    <w:p>
      <w:pPr>
        <w:spacing w:after="0" w:line="162"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According to the terms of the contractual arrangements that our WFOEs entered into with the VIEs, and the VIEs’ shareholders, our WFOEs have a right to charge the VIEs for services provided to them. These service fees shall be recognized as expenses of the VIEs and their subsidiaries, with a corresponding amount as revenue by our WFOEs and then completely eliminate in consolidation level. For income tax purposes, our WFOEs and VIEs file income tax returns on a separate company basis. The service fees paid are recognized as a tax deduction by VIEs and as revenue by our WFOEs. The PRC’s statutory Enterprise Income Tax (“EIT”) rates is 25%. VIEs and certain their subsidiaries are qualified for preferential EIT rate of 15% or entitled to reduction of taxable income. However, the preferential tax policy is subject to qualification and temporary in nature. It may not be available in a future period when the service fees are really paid.</w:t>
      </w:r>
    </w:p>
    <w:p>
      <w:pPr>
        <w:spacing w:after="0" w:line="189"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Furthermore, in accordance with the PRC Enterprise Income Tax Law, a withholding income tax of 10% is imposed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which could apply to our WFOEs and other PRC subsidiaries. In addition, subject to the passive foreign investment company rules, the gross amount of any distribution that we make to investor with respect to the ADSs or ordinary shares (including any amounts withheld to reflect PRC withholding taxes) will be taxable as a dividend, to the extent paid out of the current or accumulated earnings and profits of us and the VIEs, as determined under United States federal income tax principles. Moreover, if we are considered a PRC tax resident enterprise for tax purposes, any dividends we pay to our overseas shareholders may be regarded as China-sourced income and as a result may be subject to PRC withholding tax. See “Taxation—PRC Taxation” and “Risk Factors—Risks Related to the ADSs and this Offering—If we are classified as a PRC resident enterprise for PRC enterprise income tax purposes, such classification could result in unfavorable tax consequences to us and our non-PRC shareholders and ADS holders.”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Requirements on Foreign Exchange and the Ability to Transfer Cash Between Entities, Across Borders and to U.S. Investors</w:t>
      </w:r>
    </w:p>
    <w:p>
      <w:pPr>
        <w:spacing w:after="0" w:line="121"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We currently have not maintained any cash management policies that dictate the purpose, amount and procedure of cash transfers between the Company, our WFOEs and other PRC subsidiaries, the VIEs, or investors. Rather, the funds can be transferred in accordance with the applicable laws and regulations in the PRC and other jurisdictions. To the extent our cash in the business is in the PRC or a PRC entity, the funds may not be available to distribute dividends to our investors, or for other use outside of the PRC, due to oversight on or the</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regulatory requirements and limitations on the ability of us, our subsidiaries, or the VIEs by the PRC government to transfer cash.</w:t>
      </w:r>
    </w:p>
    <w:p>
      <w:pPr>
        <w:spacing w:after="0" w:line="225"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The PRC government imposes regulatory restrictions on the convertibility of Renminbi into foreign currencies and, in certain cases, the remittance of currency out of China, and requires approval or registration in accordance with regulatory requirements. The majority of our and the VIEs’ income is received in Renminbi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Approval from appropriate government authorities is required if Renminbi is converted into foreign currency and remitted out of China to pay capital expenses such as the repayment of loans denominated in foreign currencies. The PRC government may, in accordance with applicable laws and regulations, impose limitations on access to foreign currencies for current account transactions and if this occurs in the future, we may not be able to pay dividends in foreign currencies to our shareholders.</w:t>
      </w:r>
    </w:p>
    <w:p>
      <w:pPr>
        <w:spacing w:after="0" w:line="188"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Our cash dividends, if any, will be paid in U.S. dollars. If we are considered a PRC tax resident enterprise for tax purposes, any dividends we pay to our overseas shareholders may be regarded as China-sourced income and as a result may be subject to PRC withholding tax. See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180"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Relevant PRC laws and regulations permit the PRC companies to pay dividends only out of their retained earnings, if any, as determined in accordance with PRC accounting standards and regulations. Additionally, the Company’s PRC subsidiaries and the VIEs can only distribute dividends upon approval of the shareholders after they have met the PRC requirements for appropriation to the statutory reserves. As a result of these and other PRC laws and regulations, the PRC subsidiaries and the VIEs are restricted to transfer a portion of their net assets to the Company either in the form of dividends, loans or advances. Even though the Company currently does not require any such dividends, loans or advances from the PRC subsidiaries and the VIEs for working capital and other funding purposes, the Company may in the future require additional cash resources from its PRC subsidiaries and the VIEs due to changes in business conditions, to fund future acquisitions and developments, or merely declare and pay dividends to or distributions to the Company’s shareholders.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Risks Associated with Our Corporate Structure</w:t>
      </w:r>
    </w:p>
    <w:p>
      <w:pPr>
        <w:spacing w:after="0" w:line="121"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that conducts substantially all of our operations in China through our PRC subsidiaries and the VIEs. In addition, all our senior executive officers reside within China for a significant portion of the time and all of them are PRC nationals or Hong Kong residents. As a result, it may be complex and costly for our shareholders to effect service of process upon us or those persons inside China.</w:t>
      </w:r>
    </w:p>
    <w:p>
      <w:pPr>
        <w:spacing w:after="0" w:line="180"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basically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written treaties providing for the reciprocal recognition and enforcement of judgments of courts with the United States, the Cayman Islands or some other countries and regions. Therefore, it is uncertain whether the judgment of a court in any of these non-PRC jurisdictions in relation to any matter not subject to a binding arbitration provision can be recognized or enforced. In addition, according to the PRC Civil Procedures Law, the PRC courts will not enforce a foreign</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186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2018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8"/>
          <w:szCs w:val="18"/>
          <w:color w:val="auto"/>
        </w:rPr>
        <w:t>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162"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 Additionally, public shareholders investing in the ADSs have limited rights and few practical remedies in emerging markets where we operate, as shareholder claims that are common in the United States, including class actions under securities law and fraud claims, as well as the corresponding foreign judgments on such claims, generally are difficult to pursue and enforce as a matter of law or practicality in many emerging markets, including China. See also “Risk Factors—Risks Related to Doing Business in China— You may experience difficulties in effecting service of legal process, enforcing foreign judgments or bringing actions in China against us or our management named in the prospectus based on foreign laws.”</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470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14700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principal offices are located at No. 2 Wangjiang North Road, Room 148, Zhongshan Community, Baiyun Street, Dongyang, Jinhua City, Zhejiang Province, China. Our telephone number at this address is +86 0571 8860 7326. Our registered office in the Cayman Islands is located at the offices of PO Box 309, Ugland House, Grand Cayman, KY1-1104, Cayman Islands. Our agent for service of process in the United States is located at 122 East 42nd Street, 18th Floor New York, NY 10168.</w:t>
      </w:r>
    </w:p>
    <w:p>
      <w:pPr>
        <w:spacing w:after="0" w:line="180"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Investors should contact us for any inquiries through the address and telephone number of our principal executive office. Our principal website is www.dasouche.com. The information contained on our website is not a part of this prospectus.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115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As a company with less than US$1.235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94"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our fiscal year during which we have total annual gross revenues of at least US$1.235 billion; (ii) the last day of our fiscal year following the fifth anniversary of the completion of this offering;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 See “Risk Factors—Risks Related to the ADSs and this Offering—We are an emerging growth company within the meaning of the Securities Act and may take advantage of certain reduced reporting requirements.”</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1558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2155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under the Exchange Act from, among other things, the rules under the Exchange Act requiring the filing of quarterly reports on Form 10-Q or current reports on Form 8-K with the SEC,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We will be required to file an annual report on Form 20-F within four months of the end of each fiscal year and we intend to publish our results on a quarterly basis. However, the information we are required to file with or furnish to the SEC will be less extensive and less timely compared to that required to be filed with the SEC by U.S. domestic issuers.</w:t>
      </w:r>
    </w:p>
    <w:p>
      <w:pPr>
        <w:spacing w:after="0" w:line="192"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6071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1607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229"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Immediately following the completion of this offering, our issued and outstanding share capital will consist of Class A ordinary shares and Class B ordinary shares. Mr. Junhong Yao, our founder, director and chief executive officer, will beneficially own       Class A ordinary shares and 331,292,603 Class B ordinary shares, representing     % of the total voting power of our outstanding ordinary shares, assuming that the underwriters do not exercise their option to purchase additional ADSs, or     % of the total voting power of our outstanding ordinary shares, assuming that the option to purchase additional ADSs is exercised by the underwriters in full. As a result, we will become a “controlled company” as defined under the Nasdaq Stock Market Rules following the completion of this offering. As a “controlled company,” we are permitted to elect not to comply with certain corporate governance requirements. If we rely on these exemptions, you will not have the same protection afforded to shareholders of companies that are subject to these corporate governance requirements.</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27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CONVENTIONS WHICH APPLY TO THIS PROSPECTUS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prospectus only:</w:t>
      </w:r>
    </w:p>
    <w:p>
      <w:pPr>
        <w:spacing w:after="0" w:line="129" w:lineRule="exact"/>
        <w:rPr>
          <w:sz w:val="20"/>
          <w:szCs w:val="20"/>
          <w:color w:val="auto"/>
        </w:rPr>
      </w:pPr>
    </w:p>
    <w:p>
      <w:pPr>
        <w:ind w:left="1240" w:hanging="523"/>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“Active users” for a given period refers to used car dealers who accessed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at least once during that period;</w:t>
      </w:r>
    </w:p>
    <w:p>
      <w:pPr>
        <w:spacing w:after="0" w:line="133" w:lineRule="exact"/>
        <w:rPr>
          <w:sz w:val="20"/>
          <w:szCs w:val="20"/>
          <w:color w:val="auto"/>
        </w:rPr>
      </w:pPr>
    </w:p>
    <w:p>
      <w:pPr>
        <w:ind w:left="720"/>
        <w:spacing w:after="0"/>
        <w:tabs>
          <w:tab w:leader="none" w:pos="1220" w:val="left"/>
          <w:tab w:leader="none" w:pos="6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“ADSs” refers to the American depositary shares, each representing           </w:t>
      </w:r>
      <w:r>
        <w:rPr>
          <w:sz w:val="20"/>
          <w:szCs w:val="20"/>
          <w:color w:val="auto"/>
        </w:rPr>
        <w:tab/>
      </w:r>
      <w:r>
        <w:rPr>
          <w:rFonts w:ascii="Times New Roman" w:cs="Times New Roman" w:eastAsia="Times New Roman" w:hAnsi="Times New Roman"/>
          <w:sz w:val="17"/>
          <w:szCs w:val="17"/>
          <w:color w:val="auto"/>
        </w:rPr>
        <w:t>Class A ordinary shares;</w:t>
      </w:r>
    </w:p>
    <w:p>
      <w:pPr>
        <w:spacing w:after="0" w:line="131" w:lineRule="exact"/>
        <w:rPr>
          <w:sz w:val="20"/>
          <w:szCs w:val="20"/>
          <w:color w:val="auto"/>
        </w:rPr>
      </w:pPr>
    </w:p>
    <w:p>
      <w:pPr>
        <w:ind w:left="1240" w:right="20" w:hanging="523"/>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dealers” refers to dealerships who have contractual rights to exclusively distribute automobiles for particular OEMs within specific regions who typically provide Sales, Service, Spare parts, and Survey (4S) support for their vehicles;</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“ARPU” or “Average Revenue Per User” for a given period is calculated by the total revenue generated from the transactions with monetized dealers and brokers, divided by the total number of such dealers and brokers for that period;</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commerce” refers to the activities of buying and selling of new and used vehicles as well as various transaction services facilitating the buying and selling of vehicles;</w:t>
      </w:r>
    </w:p>
    <w:p>
      <w:pPr>
        <w:spacing w:after="0" w:line="67" w:lineRule="exact"/>
        <w:rPr>
          <w:rFonts w:ascii="Times New Roman" w:cs="Times New Roman" w:eastAsia="Times New Roman" w:hAnsi="Times New Roman"/>
          <w:sz w:val="18"/>
          <w:szCs w:val="18"/>
          <w:color w:val="auto"/>
        </w:rPr>
      </w:pPr>
    </w:p>
    <w:p>
      <w:pPr>
        <w:jc w:val="both"/>
        <w:ind w:left="1240" w:hanging="523"/>
        <w:spacing w:after="0" w:line="266"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merchants” refers to the individuals or entities engaging in the buying and selling of vehicles; in the used car space, they primarily include used car dealers and authorized dealers, and in the new car space, they primarily include OEMs, authorized dealers, and new car brokers;</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Peak” refers to Beijing Peak Technology Co., Ltd, a PRC-incorporated company and one of the two VIEs;</w:t>
      </w:r>
    </w:p>
    <w:p>
      <w:pPr>
        <w:spacing w:after="0" w:line="130"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 “we,” “us,” “our,” “ours,” “our company,” and the “Company,” refer to DSC Holdings Ltd., a Cayman Islands holding company, and its subsidiaries;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 parc” refers to the total number of passenger vehicles in a region or market;</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refers to the Cyberspace Administration of China;</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unless otherwise specified herein, refers to the People’s Republic of China;</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with a par value of US$0.0001 per share;</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with a par value of US$0.0001 per share;</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 refers to electric vehicle;</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“GDP” refers to gross domestic product;</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Souche” refers to Hangzhou Souche Network Technology Co., Ltd., a PRC-incorporated company and one of the two VIEs;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“ICE” refers to internal combustion engine;</w:t>
      </w:r>
    </w:p>
    <w:p>
      <w:pPr>
        <w:spacing w:after="0" w:line="130"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is measured by the number of unique mobile devices that have accessed our platform at least once during a month, except that if a user uses multiple mobile devices to access our platform during a given month, they will be counted as only one MAU;</w:t>
      </w:r>
    </w:p>
    <w:p>
      <w:pPr>
        <w:spacing w:after="0" w:line="67" w:lineRule="exact"/>
        <w:rPr>
          <w:rFonts w:ascii="Times New Roman" w:cs="Times New Roman" w:eastAsia="Times New Roman" w:hAnsi="Times New Roman"/>
          <w:sz w:val="18"/>
          <w:szCs w:val="18"/>
          <w:color w:val="auto"/>
        </w:rPr>
      </w:pPr>
    </w:p>
    <w:p>
      <w:pPr>
        <w:jc w:val="both"/>
        <w:ind w:left="1240" w:hanging="523"/>
        <w:spacing w:after="0" w:line="261"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“Monetized dealers and brokers” refers to used car dealers and/or new car brokers, from whom we generate revenues either directly from fees received from such dealers and/or brokers or indirectly from their collaborators; our “monetized dealers and brokers” also include used car dealers and new car brokers using our financial products referral services where we receive our fees from the financial institutions, rather than from the used car dealers and new car brokers;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0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car brokers” refers to intermediaries who facilitate authorized dealers in selling new cars to end consumers;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“OEMs” or “Original Equipment Manufacturers,” in the context of auto commerce, refer to automobile manufacturers;</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ordinary shares, par value of US$0.0001 per share, and upon the completion of this offering, to our Class A ordinary shares and Class B ordinary shares;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 refers to small and micro enterprise;</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new car brokers” for a given period refers to new car brokers who subscribed for our digitalization solutions at least once during that period;</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used car dealers” for a given period refers to used car dealers who subscribed for our digitalization solutions at least once during that period;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 refers to total addressable market;</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car dealers” refers to individuals who engage in the business of buying and selling used cars;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accounting principles generally accepted in the United States of America; and</w:t>
      </w:r>
    </w:p>
    <w:p>
      <w:pPr>
        <w:spacing w:after="0" w:line="130" w:lineRule="exact"/>
        <w:rPr>
          <w:rFonts w:ascii="Times New Roman" w:cs="Times New Roman" w:eastAsia="Times New Roman" w:hAnsi="Times New Roman"/>
          <w:sz w:val="18"/>
          <w:szCs w:val="18"/>
          <w:color w:val="auto"/>
        </w:rPr>
      </w:pPr>
    </w:p>
    <w:p>
      <w:pPr>
        <w:jc w:val="both"/>
        <w:ind w:left="1240" w:hanging="523"/>
        <w:spacing w:after="0" w:line="25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“variable interest entities,” or “VIEs,” refers to entities in the PRC over which we can direct the activities that most significantly impact their economic performance through certain contractual arrangements; additionally, we have the right to recognize and receive almost all of the economic benefits of these entities, and we hold an exclusive option to purchase all or part of their equity interests at the minimum price permitted by PRC laws. As a result, we are considered the primary beneficiary of these entities for accounting purposes, and under U.S. GAAP, we are able to combine their operating results in our financial statements, to the extent the conditions for combination of the VIEs under the U.S. GAAP are met.</w:t>
      </w:r>
    </w:p>
    <w:p>
      <w:pPr>
        <w:spacing w:after="0" w:line="187"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prospectus are made at RMB7.2513 to US$1.00, the exchange rate set forth in the H.10 statistical release of the Federal Reserve Board on June 30, 2023. We make no representation that any Renminbi or U.S. dollar amounts could have been, or could be, converted into U.S. dollars or Renminbi, as the case may be, at any particular rate, the rates stated below, or at all.</w:t>
      </w:r>
    </w:p>
    <w:p>
      <w:pPr>
        <w:spacing w:after="0" w:line="180"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This prospectus contains information derived from various public sources and certain information from an industry report dated September 13, 2023 which was commissioned by us in connection with this offering and prepared by China Insights Consultancy (“CIC”), a third-party industry research firm, to provide information regarding our industry and market position in China. Such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variety of factors, including those described in the “Risk Factors” section. These and other factors could cause results to differ materially from those expressed in these publications and reports.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9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THE OFFERING</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41"/>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 range</w:t>
            </w:r>
          </w:p>
        </w:tc>
        <w:tc>
          <w:tcPr>
            <w:tcW w:w="6580" w:type="dxa"/>
            <w:vAlign w:val="bottom"/>
            <w:gridSpan w:val="13"/>
          </w:tcPr>
          <w:p>
            <w:pPr>
              <w:ind w:left="1260"/>
              <w:spacing w:after="0"/>
              <w:rPr>
                <w:sz w:val="20"/>
                <w:szCs w:val="20"/>
                <w:color w:val="auto"/>
              </w:rPr>
            </w:pPr>
            <w:r>
              <w:rPr>
                <w:rFonts w:ascii="Times New Roman" w:cs="Times New Roman" w:eastAsia="Times New Roman" w:hAnsi="Times New Roman"/>
                <w:sz w:val="18"/>
                <w:szCs w:val="18"/>
                <w:color w:val="auto"/>
              </w:rPr>
              <w:t>We currently estimate that the initial public offering price will be</w:t>
            </w:r>
          </w:p>
        </w:tc>
      </w:tr>
      <w:tr>
        <w:trPr>
          <w:trHeight w:val="234"/>
        </w:trPr>
        <w:tc>
          <w:tcPr>
            <w:tcW w:w="4060" w:type="dxa"/>
            <w:vAlign w:val="bottom"/>
          </w:tcPr>
          <w:p>
            <w:pPr>
              <w:spacing w:after="0"/>
              <w:rPr>
                <w:sz w:val="20"/>
                <w:szCs w:val="20"/>
                <w:color w:val="auto"/>
              </w:rPr>
            </w:pPr>
          </w:p>
        </w:tc>
        <w:tc>
          <w:tcPr>
            <w:tcW w:w="236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 xml:space="preserve">between US$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and US$ </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70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per ADS.</w:t>
            </w:r>
          </w:p>
        </w:tc>
      </w:tr>
      <w:tr>
        <w:trPr>
          <w:trHeight w:val="441"/>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ADSs offered by us</w:t>
            </w:r>
          </w:p>
        </w:tc>
        <w:tc>
          <w:tcPr>
            <w:tcW w:w="1360" w:type="dxa"/>
            <w:vAlign w:val="bottom"/>
          </w:tcPr>
          <w:p>
            <w:pPr>
              <w:ind w:left="12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ADSs (or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ADSs if the underwriters exercise their</w:t>
            </w:r>
          </w:p>
        </w:tc>
      </w:tr>
      <w:tr>
        <w:trPr>
          <w:trHeight w:val="234"/>
        </w:trPr>
        <w:tc>
          <w:tcPr>
            <w:tcW w:w="4060" w:type="dxa"/>
            <w:vAlign w:val="bottom"/>
          </w:tcPr>
          <w:p>
            <w:pPr>
              <w:spacing w:after="0"/>
              <w:rPr>
                <w:sz w:val="20"/>
                <w:szCs w:val="20"/>
                <w:color w:val="auto"/>
              </w:rPr>
            </w:pPr>
          </w:p>
        </w:tc>
        <w:tc>
          <w:tcPr>
            <w:tcW w:w="3600" w:type="dxa"/>
            <w:vAlign w:val="bottom"/>
            <w:gridSpan w:val="11"/>
          </w:tcPr>
          <w:p>
            <w:pPr>
              <w:ind w:left="1260"/>
              <w:spacing w:after="0"/>
              <w:rPr>
                <w:sz w:val="20"/>
                <w:szCs w:val="20"/>
                <w:color w:val="auto"/>
              </w:rPr>
            </w:pPr>
            <w:r>
              <w:rPr>
                <w:rFonts w:ascii="Times New Roman" w:cs="Times New Roman" w:eastAsia="Times New Roman" w:hAnsi="Times New Roman"/>
                <w:sz w:val="18"/>
                <w:szCs w:val="18"/>
                <w:color w:val="auto"/>
              </w:rPr>
              <w:t>over-allotment option in full).</w:t>
            </w:r>
          </w:p>
        </w:tc>
        <w:tc>
          <w:tcPr>
            <w:tcW w:w="28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41"/>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ADS outstanding immediately after this offering</w:t>
            </w:r>
          </w:p>
        </w:tc>
        <w:tc>
          <w:tcPr>
            <w:tcW w:w="1360" w:type="dxa"/>
            <w:vAlign w:val="bottom"/>
          </w:tcPr>
          <w:p>
            <w:pPr>
              <w:ind w:left="12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ADSs (or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ADSs if the underwriters exercise their</w:t>
            </w:r>
          </w:p>
        </w:tc>
      </w:tr>
      <w:tr>
        <w:trPr>
          <w:trHeight w:val="234"/>
        </w:trPr>
        <w:tc>
          <w:tcPr>
            <w:tcW w:w="4060" w:type="dxa"/>
            <w:vAlign w:val="bottom"/>
          </w:tcPr>
          <w:p>
            <w:pPr>
              <w:spacing w:after="0"/>
              <w:rPr>
                <w:sz w:val="20"/>
                <w:szCs w:val="20"/>
                <w:color w:val="auto"/>
              </w:rPr>
            </w:pPr>
          </w:p>
        </w:tc>
        <w:tc>
          <w:tcPr>
            <w:tcW w:w="3600" w:type="dxa"/>
            <w:vAlign w:val="bottom"/>
            <w:gridSpan w:val="11"/>
          </w:tcPr>
          <w:p>
            <w:pPr>
              <w:ind w:left="1260"/>
              <w:spacing w:after="0"/>
              <w:rPr>
                <w:sz w:val="20"/>
                <w:szCs w:val="20"/>
                <w:color w:val="auto"/>
              </w:rPr>
            </w:pPr>
            <w:r>
              <w:rPr>
                <w:rFonts w:ascii="Times New Roman" w:cs="Times New Roman" w:eastAsia="Times New Roman" w:hAnsi="Times New Roman"/>
                <w:sz w:val="18"/>
                <w:szCs w:val="18"/>
                <w:color w:val="auto"/>
              </w:rPr>
              <w:t>over-allotment option in full).</w:t>
            </w:r>
          </w:p>
        </w:tc>
        <w:tc>
          <w:tcPr>
            <w:tcW w:w="28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41"/>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The ADSs</w:t>
            </w:r>
          </w:p>
        </w:tc>
        <w:tc>
          <w:tcPr>
            <w:tcW w:w="17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Each</w:t>
            </w: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ADS represents</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Class A ordinary shares, par value</w:t>
            </w:r>
          </w:p>
        </w:tc>
      </w:tr>
      <w:tr>
        <w:trPr>
          <w:trHeight w:val="216"/>
        </w:trPr>
        <w:tc>
          <w:tcPr>
            <w:tcW w:w="4060" w:type="dxa"/>
            <w:vAlign w:val="bottom"/>
          </w:tcPr>
          <w:p>
            <w:pPr>
              <w:spacing w:after="0"/>
              <w:rPr>
                <w:sz w:val="18"/>
                <w:szCs w:val="18"/>
                <w:color w:val="auto"/>
              </w:rPr>
            </w:pPr>
          </w:p>
        </w:tc>
        <w:tc>
          <w:tcPr>
            <w:tcW w:w="6580" w:type="dxa"/>
            <w:vAlign w:val="bottom"/>
            <w:gridSpan w:val="13"/>
          </w:tcPr>
          <w:p>
            <w:pPr>
              <w:ind w:left="1260"/>
              <w:spacing w:after="0"/>
              <w:rPr>
                <w:sz w:val="20"/>
                <w:szCs w:val="20"/>
                <w:color w:val="auto"/>
              </w:rPr>
            </w:pPr>
            <w:r>
              <w:rPr>
                <w:rFonts w:ascii="Times New Roman" w:cs="Times New Roman" w:eastAsia="Times New Roman" w:hAnsi="Times New Roman"/>
                <w:sz w:val="18"/>
                <w:szCs w:val="18"/>
                <w:color w:val="auto"/>
              </w:rPr>
              <w:t>US$0.0001 per share. The depositary will hold the Class A ordinary</w:t>
            </w:r>
          </w:p>
        </w:tc>
      </w:tr>
      <w:tr>
        <w:trPr>
          <w:trHeight w:val="216"/>
        </w:trPr>
        <w:tc>
          <w:tcPr>
            <w:tcW w:w="4060" w:type="dxa"/>
            <w:vAlign w:val="bottom"/>
          </w:tcPr>
          <w:p>
            <w:pPr>
              <w:spacing w:after="0"/>
              <w:rPr>
                <w:sz w:val="18"/>
                <w:szCs w:val="18"/>
                <w:color w:val="auto"/>
              </w:rPr>
            </w:pPr>
          </w:p>
        </w:tc>
        <w:tc>
          <w:tcPr>
            <w:tcW w:w="6580" w:type="dxa"/>
            <w:vAlign w:val="bottom"/>
            <w:gridSpan w:val="13"/>
          </w:tcPr>
          <w:p>
            <w:pPr>
              <w:ind w:left="1260"/>
              <w:spacing w:after="0"/>
              <w:rPr>
                <w:sz w:val="20"/>
                <w:szCs w:val="20"/>
                <w:color w:val="auto"/>
              </w:rPr>
            </w:pPr>
            <w:r>
              <w:rPr>
                <w:rFonts w:ascii="Times New Roman" w:cs="Times New Roman" w:eastAsia="Times New Roman" w:hAnsi="Times New Roman"/>
                <w:sz w:val="18"/>
                <w:szCs w:val="18"/>
                <w:color w:val="auto"/>
                <w:w w:val="99"/>
              </w:rPr>
              <w:t>shares underlying the ADSs through its custodian. You will have rights as</w:t>
            </w:r>
          </w:p>
        </w:tc>
      </w:tr>
      <w:tr>
        <w:trPr>
          <w:trHeight w:val="234"/>
        </w:trPr>
        <w:tc>
          <w:tcPr>
            <w:tcW w:w="4060" w:type="dxa"/>
            <w:vAlign w:val="bottom"/>
          </w:tcPr>
          <w:p>
            <w:pPr>
              <w:spacing w:after="0"/>
              <w:rPr>
                <w:sz w:val="20"/>
                <w:szCs w:val="20"/>
                <w:color w:val="auto"/>
              </w:rPr>
            </w:pPr>
          </w:p>
        </w:tc>
        <w:tc>
          <w:tcPr>
            <w:tcW w:w="3880" w:type="dxa"/>
            <w:vAlign w:val="bottom"/>
            <w:gridSpan w:val="12"/>
          </w:tcPr>
          <w:p>
            <w:pPr>
              <w:ind w:left="1260"/>
              <w:spacing w:after="0"/>
              <w:rPr>
                <w:sz w:val="20"/>
                <w:szCs w:val="20"/>
                <w:color w:val="auto"/>
              </w:rPr>
            </w:pPr>
            <w:r>
              <w:rPr>
                <w:rFonts w:ascii="Times New Roman" w:cs="Times New Roman" w:eastAsia="Times New Roman" w:hAnsi="Times New Roman"/>
                <w:sz w:val="18"/>
                <w:szCs w:val="18"/>
                <w:color w:val="auto"/>
              </w:rPr>
              <w:t>provided in the deposit agreement.</w:t>
            </w:r>
          </w:p>
        </w:tc>
        <w:tc>
          <w:tcPr>
            <w:tcW w:w="2700" w:type="dxa"/>
            <w:vAlign w:val="bottom"/>
          </w:tcPr>
          <w:p>
            <w:pPr>
              <w:spacing w:after="0"/>
              <w:rPr>
                <w:sz w:val="20"/>
                <w:szCs w:val="20"/>
                <w:color w:val="auto"/>
              </w:rPr>
            </w:pPr>
          </w:p>
        </w:tc>
      </w:tr>
      <w:tr>
        <w:trPr>
          <w:trHeight w:val="279"/>
        </w:trPr>
        <w:tc>
          <w:tcPr>
            <w:tcW w:w="4060" w:type="dxa"/>
            <w:vAlign w:val="bottom"/>
          </w:tcPr>
          <w:p>
            <w:pPr>
              <w:spacing w:after="0"/>
              <w:rPr>
                <w:sz w:val="24"/>
                <w:szCs w:val="24"/>
                <w:color w:val="auto"/>
              </w:rPr>
            </w:pPr>
          </w:p>
        </w:tc>
        <w:tc>
          <w:tcPr>
            <w:tcW w:w="6580" w:type="dxa"/>
            <w:vAlign w:val="bottom"/>
            <w:gridSpan w:val="13"/>
          </w:tcPr>
          <w:p>
            <w:pPr>
              <w:ind w:left="1260"/>
              <w:spacing w:after="0"/>
              <w:rPr>
                <w:sz w:val="20"/>
                <w:szCs w:val="20"/>
                <w:color w:val="auto"/>
              </w:rPr>
            </w:pPr>
            <w:r>
              <w:rPr>
                <w:rFonts w:ascii="Times New Roman" w:cs="Times New Roman" w:eastAsia="Times New Roman" w:hAnsi="Times New Roman"/>
                <w:sz w:val="18"/>
                <w:szCs w:val="18"/>
                <w:color w:val="auto"/>
              </w:rPr>
              <w:t>We do not expect to pay dividends in the foreseeable future. If, however,</w:t>
            </w:r>
          </w:p>
        </w:tc>
      </w:tr>
      <w:tr>
        <w:trPr>
          <w:trHeight w:val="216"/>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we declare dividends on our Class A ordinary shares, the depositary</w:t>
            </w:r>
          </w:p>
        </w:tc>
      </w:tr>
      <w:tr>
        <w:trPr>
          <w:trHeight w:val="216"/>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will pay you the cash dividends and other distributions it receives on</w:t>
            </w:r>
          </w:p>
        </w:tc>
      </w:tr>
      <w:tr>
        <w:trPr>
          <w:trHeight w:val="216"/>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our Class A ordinary shares, after deducting its fees and expenses in</w:t>
            </w:r>
          </w:p>
        </w:tc>
      </w:tr>
      <w:tr>
        <w:trPr>
          <w:trHeight w:val="234"/>
        </w:trPr>
        <w:tc>
          <w:tcPr>
            <w:tcW w:w="4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accordance with the terms set forth in the deposit agreement.</w:t>
            </w:r>
          </w:p>
        </w:tc>
      </w:tr>
      <w:tr>
        <w:trPr>
          <w:trHeight w:val="279"/>
        </w:trPr>
        <w:tc>
          <w:tcPr>
            <w:tcW w:w="4060" w:type="dxa"/>
            <w:vAlign w:val="bottom"/>
          </w:tcPr>
          <w:p>
            <w:pPr>
              <w:spacing w:after="0"/>
              <w:rPr>
                <w:sz w:val="24"/>
                <w:szCs w:val="24"/>
                <w:color w:val="auto"/>
              </w:rPr>
            </w:pPr>
          </w:p>
        </w:tc>
        <w:tc>
          <w:tcPr>
            <w:tcW w:w="6580" w:type="dxa"/>
            <w:vAlign w:val="bottom"/>
            <w:gridSpan w:val="13"/>
          </w:tcPr>
          <w:p>
            <w:pPr>
              <w:ind w:left="1260"/>
              <w:spacing w:after="0"/>
              <w:rPr>
                <w:sz w:val="20"/>
                <w:szCs w:val="20"/>
                <w:color w:val="auto"/>
              </w:rPr>
            </w:pPr>
            <w:r>
              <w:rPr>
                <w:rFonts w:ascii="Times New Roman" w:cs="Times New Roman" w:eastAsia="Times New Roman" w:hAnsi="Times New Roman"/>
                <w:sz w:val="18"/>
                <w:szCs w:val="18"/>
                <w:color w:val="auto"/>
              </w:rPr>
              <w:t>You may surrender the ADSs to the depositary for cancelation to receive</w:t>
            </w:r>
          </w:p>
        </w:tc>
      </w:tr>
      <w:tr>
        <w:trPr>
          <w:trHeight w:val="216"/>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Class A ordinary shares. The depositary will charge you fees for any</w:t>
            </w:r>
          </w:p>
        </w:tc>
      </w:tr>
      <w:tr>
        <w:trPr>
          <w:trHeight w:val="234"/>
        </w:trPr>
        <w:tc>
          <w:tcPr>
            <w:tcW w:w="4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cancelation.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79"/>
        </w:trPr>
        <w:tc>
          <w:tcPr>
            <w:tcW w:w="4060" w:type="dxa"/>
            <w:vAlign w:val="bottom"/>
          </w:tcPr>
          <w:p>
            <w:pPr>
              <w:spacing w:after="0"/>
              <w:rPr>
                <w:sz w:val="24"/>
                <w:szCs w:val="24"/>
                <w:color w:val="auto"/>
              </w:rPr>
            </w:pPr>
          </w:p>
        </w:tc>
        <w:tc>
          <w:tcPr>
            <w:tcW w:w="6580" w:type="dxa"/>
            <w:vAlign w:val="bottom"/>
            <w:gridSpan w:val="13"/>
          </w:tcPr>
          <w:p>
            <w:pPr>
              <w:ind w:left="1260"/>
              <w:spacing w:after="0"/>
              <w:rPr>
                <w:sz w:val="20"/>
                <w:szCs w:val="20"/>
                <w:color w:val="auto"/>
              </w:rPr>
            </w:pPr>
            <w:r>
              <w:rPr>
                <w:rFonts w:ascii="Times New Roman" w:cs="Times New Roman" w:eastAsia="Times New Roman" w:hAnsi="Times New Roman"/>
                <w:sz w:val="18"/>
                <w:szCs w:val="18"/>
                <w:color w:val="auto"/>
              </w:rPr>
              <w:t>We may amend or terminate the deposit agreement without your consent.</w:t>
            </w:r>
          </w:p>
        </w:tc>
      </w:tr>
      <w:tr>
        <w:trPr>
          <w:trHeight w:val="216"/>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If you continue to hold the ADSs after an amendment to the deposit</w:t>
            </w:r>
          </w:p>
        </w:tc>
      </w:tr>
      <w:tr>
        <w:trPr>
          <w:trHeight w:val="216"/>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agreement, you agree to be bound by the deposit agreement as</w:t>
            </w:r>
          </w:p>
        </w:tc>
      </w:tr>
      <w:tr>
        <w:trPr>
          <w:trHeight w:val="234"/>
        </w:trPr>
        <w:tc>
          <w:tcPr>
            <w:tcW w:w="4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79"/>
        </w:trPr>
        <w:tc>
          <w:tcPr>
            <w:tcW w:w="4060" w:type="dxa"/>
            <w:vAlign w:val="bottom"/>
          </w:tcPr>
          <w:p>
            <w:pPr>
              <w:spacing w:after="0"/>
              <w:rPr>
                <w:sz w:val="24"/>
                <w:szCs w:val="24"/>
                <w:color w:val="auto"/>
              </w:rPr>
            </w:pPr>
          </w:p>
        </w:tc>
        <w:tc>
          <w:tcPr>
            <w:tcW w:w="6580" w:type="dxa"/>
            <w:vAlign w:val="bottom"/>
            <w:gridSpan w:val="13"/>
          </w:tcPr>
          <w:p>
            <w:pPr>
              <w:ind w:left="1260"/>
              <w:spacing w:after="0"/>
              <w:rPr>
                <w:sz w:val="20"/>
                <w:szCs w:val="20"/>
                <w:color w:val="auto"/>
              </w:rPr>
            </w:pPr>
            <w:r>
              <w:rPr>
                <w:rFonts w:ascii="Times New Roman" w:cs="Times New Roman" w:eastAsia="Times New Roman" w:hAnsi="Times New Roman"/>
                <w:sz w:val="18"/>
                <w:szCs w:val="18"/>
                <w:color w:val="auto"/>
                <w:w w:val="99"/>
              </w:rPr>
              <w:t>To better understand the terms of the ADSs, you should carefully read the</w:t>
            </w:r>
          </w:p>
        </w:tc>
      </w:tr>
      <w:tr>
        <w:trPr>
          <w:trHeight w:val="216"/>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“Description of American Depositary Shares” section of this</w:t>
            </w:r>
          </w:p>
        </w:tc>
      </w:tr>
      <w:tr>
        <w:trPr>
          <w:trHeight w:val="216"/>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prospectus. You should also read the deposit agreement, which is filed</w:t>
            </w:r>
          </w:p>
        </w:tc>
      </w:tr>
      <w:tr>
        <w:trPr>
          <w:trHeight w:val="234"/>
        </w:trPr>
        <w:tc>
          <w:tcPr>
            <w:tcW w:w="4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2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as an exhibit to the registration statement that includes this prospectus.</w:t>
            </w:r>
          </w:p>
        </w:tc>
      </w:tr>
      <w:tr>
        <w:trPr>
          <w:trHeight w:val="27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7"/>
              </w:rPr>
              <w:t>We</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issue</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2"/>
              </w:rPr>
              <w:t>Class</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ordinary shares represented by the</w:t>
            </w:r>
          </w:p>
        </w:tc>
      </w:tr>
      <w:tr>
        <w:trPr>
          <w:trHeight w:val="234"/>
        </w:trPr>
        <w:tc>
          <w:tcPr>
            <w:tcW w:w="4060" w:type="dxa"/>
            <w:vAlign w:val="bottom"/>
          </w:tcPr>
          <w:p>
            <w:pPr>
              <w:spacing w:after="0"/>
              <w:rPr>
                <w:sz w:val="20"/>
                <w:szCs w:val="20"/>
                <w:color w:val="auto"/>
              </w:rPr>
            </w:pPr>
          </w:p>
        </w:tc>
        <w:tc>
          <w:tcPr>
            <w:tcW w:w="2920" w:type="dxa"/>
            <w:vAlign w:val="bottom"/>
            <w:gridSpan w:val="8"/>
          </w:tcPr>
          <w:p>
            <w:pPr>
              <w:ind w:left="1260"/>
              <w:spacing w:after="0"/>
              <w:rPr>
                <w:sz w:val="20"/>
                <w:szCs w:val="20"/>
                <w:color w:val="auto"/>
              </w:rPr>
            </w:pPr>
            <w:r>
              <w:rPr>
                <w:rFonts w:ascii="Times New Roman" w:cs="Times New Roman" w:eastAsia="Times New Roman" w:hAnsi="Times New Roman"/>
                <w:sz w:val="18"/>
                <w:szCs w:val="18"/>
                <w:color w:val="auto"/>
              </w:rPr>
              <w:t>ADSs in this offering.</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63"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8"/>
          <w:szCs w:val="18"/>
          <w:color w:val="auto"/>
        </w:rPr>
        <w:t>Following the completion of this offering, our issued and outstanding</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share capital will consist of Class A ordinary shares and Class B</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ordinary shares. Holders of Class B ordinary shares and Class B</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ordinary shares have the same rights except for voting and conversion</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rights. Each Class A ordinary share is entitled to one vote, and each</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Class B ordinary share is entitled to 10 votes and is convertible into</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one Class A ordinary</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788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share. Class A ordinary shares are not convertible into Class B</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ordinary shares under any circumstances. Upon any sale, transfer,</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assignment or disposition of any Class B ordinary shares by a holder</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thereof to any person who is not an affiliate thereof, or upon a change</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of ultimate beneficial ownership of any class B ordinary share to a</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person who is not an affiliate of thereof, each of such Class B ordinary</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shares will be automatically and immediately converted into one</w:t>
            </w: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Class A ordinary share.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92"/>
        </w:trPr>
        <w:tc>
          <w:tcPr>
            <w:tcW w:w="5200" w:type="dxa"/>
            <w:vAlign w:val="bottom"/>
          </w:tcPr>
          <w:p>
            <w:pPr>
              <w:spacing w:after="0"/>
              <w:rPr>
                <w:sz w:val="24"/>
                <w:szCs w:val="24"/>
                <w:color w:val="auto"/>
              </w:rPr>
            </w:pPr>
          </w:p>
        </w:tc>
        <w:tc>
          <w:tcPr>
            <w:tcW w:w="544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w w:val="99"/>
              </w:rPr>
              <w:t>All of our outstanding share options, regardless of grant dates, will entitle</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gridSpan w:val="13"/>
          </w:tcPr>
          <w:p>
            <w:pPr>
              <w:ind w:left="100"/>
              <w:spacing w:after="0"/>
              <w:rPr>
                <w:sz w:val="20"/>
                <w:szCs w:val="20"/>
                <w:color w:val="auto"/>
              </w:rPr>
            </w:pPr>
            <w:r>
              <w:rPr>
                <w:rFonts w:ascii="Times New Roman" w:cs="Times New Roman" w:eastAsia="Times New Roman" w:hAnsi="Times New Roman"/>
                <w:sz w:val="18"/>
                <w:szCs w:val="18"/>
                <w:color w:val="auto"/>
              </w:rPr>
              <w:t>holders to the equivalent number of Class A ordinary shares once the</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gridSpan w:val="13"/>
          </w:tcPr>
          <w:p>
            <w:pPr>
              <w:ind w:left="100"/>
              <w:spacing w:after="0"/>
              <w:rPr>
                <w:sz w:val="20"/>
                <w:szCs w:val="20"/>
                <w:color w:val="auto"/>
              </w:rPr>
            </w:pPr>
            <w:r>
              <w:rPr>
                <w:rFonts w:ascii="Times New Roman" w:cs="Times New Roman" w:eastAsia="Times New Roman" w:hAnsi="Times New Roman"/>
                <w:sz w:val="18"/>
                <w:szCs w:val="18"/>
                <w:color w:val="auto"/>
              </w:rPr>
              <w:t>vesting and exercising conditions on such share-based awards are</w:t>
            </w: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met.</w:t>
            </w:r>
          </w:p>
        </w:tc>
        <w:tc>
          <w:tcPr>
            <w:tcW w:w="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97"/>
        </w:trPr>
        <w:tc>
          <w:tcPr>
            <w:tcW w:w="5200" w:type="dxa"/>
            <w:vAlign w:val="bottom"/>
          </w:tcPr>
          <w:p>
            <w:pPr>
              <w:spacing w:after="0"/>
              <w:rPr>
                <w:sz w:val="24"/>
                <w:szCs w:val="24"/>
                <w:color w:val="auto"/>
              </w:rPr>
            </w:pPr>
          </w:p>
        </w:tc>
        <w:tc>
          <w:tcPr>
            <w:tcW w:w="30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See “Description of Share Capital.”</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issued and outstanding immediately after this offering</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w:t>
            </w: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comprised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1"/>
              </w:rPr>
              <w:t>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ordinary</w:t>
            </w:r>
          </w:p>
        </w:tc>
      </w:tr>
      <w:tr>
        <w:trPr>
          <w:trHeight w:val="216"/>
        </w:trPr>
        <w:tc>
          <w:tcPr>
            <w:tcW w:w="5200" w:type="dxa"/>
            <w:vAlign w:val="bottom"/>
          </w:tcPr>
          <w:p>
            <w:pPr>
              <w:spacing w:after="0"/>
              <w:rPr>
                <w:sz w:val="18"/>
                <w:szCs w:val="18"/>
                <w:color w:val="auto"/>
              </w:rPr>
            </w:pPr>
          </w:p>
        </w:tc>
        <w:tc>
          <w:tcPr>
            <w:tcW w:w="410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shares and 331,292,603 Class B ordinary shares (or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93"/>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Class A</w:t>
            </w:r>
          </w:p>
        </w:tc>
      </w:tr>
      <w:tr>
        <w:trPr>
          <w:trHeight w:val="216"/>
        </w:trPr>
        <w:tc>
          <w:tcPr>
            <w:tcW w:w="5200" w:type="dxa"/>
            <w:vAlign w:val="bottom"/>
          </w:tcPr>
          <w:p>
            <w:pPr>
              <w:spacing w:after="0"/>
              <w:rPr>
                <w:sz w:val="18"/>
                <w:szCs w:val="18"/>
                <w:color w:val="auto"/>
              </w:rPr>
            </w:pPr>
          </w:p>
        </w:tc>
        <w:tc>
          <w:tcPr>
            <w:tcW w:w="544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ordinary shares if the underwriters exercise their option to purchase</w:t>
            </w:r>
          </w:p>
        </w:tc>
      </w:tr>
      <w:tr>
        <w:trPr>
          <w:trHeight w:val="216"/>
        </w:trPr>
        <w:tc>
          <w:tcPr>
            <w:tcW w:w="5200" w:type="dxa"/>
            <w:vAlign w:val="bottom"/>
          </w:tcPr>
          <w:p>
            <w:pPr>
              <w:spacing w:after="0"/>
              <w:rPr>
                <w:sz w:val="18"/>
                <w:szCs w:val="18"/>
                <w:color w:val="auto"/>
              </w:rPr>
            </w:pPr>
          </w:p>
        </w:tc>
        <w:tc>
          <w:tcPr>
            <w:tcW w:w="30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w w:val="98"/>
              </w:rPr>
              <w:t>additional ADSs in full, comprised of  </w:t>
            </w:r>
          </w:p>
        </w:tc>
        <w:tc>
          <w:tcPr>
            <w:tcW w:w="2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Class A ordinary shares</w:t>
            </w:r>
          </w:p>
        </w:tc>
      </w:tr>
      <w:tr>
        <w:trPr>
          <w:trHeight w:val="234"/>
        </w:trPr>
        <w:tc>
          <w:tcPr>
            <w:tcW w:w="5200" w:type="dxa"/>
            <w:vAlign w:val="bottom"/>
          </w:tcPr>
          <w:p>
            <w:pPr>
              <w:spacing w:after="0"/>
              <w:rPr>
                <w:sz w:val="20"/>
                <w:szCs w:val="20"/>
                <w:color w:val="auto"/>
              </w:rPr>
            </w:pPr>
          </w:p>
        </w:tc>
        <w:tc>
          <w:tcPr>
            <w:tcW w:w="32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and 331,292,603 Class B ordinary shares).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Over-allotment option</w:t>
            </w:r>
          </w:p>
        </w:tc>
        <w:tc>
          <w:tcPr>
            <w:tcW w:w="544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We have granted the underwriters the right to purchase up to an</w:t>
            </w:r>
          </w:p>
        </w:tc>
      </w:tr>
      <w:tr>
        <w:trPr>
          <w:trHeight w:val="216"/>
        </w:trPr>
        <w:tc>
          <w:tcPr>
            <w:tcW w:w="5200" w:type="dxa"/>
            <w:vAlign w:val="bottom"/>
          </w:tcPr>
          <w:p>
            <w:pPr>
              <w:spacing w:after="0"/>
              <w:rPr>
                <w:sz w:val="18"/>
                <w:szCs w:val="18"/>
                <w:color w:val="auto"/>
              </w:rPr>
            </w:pPr>
          </w:p>
        </w:tc>
        <w:tc>
          <w:tcPr>
            <w:tcW w:w="16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additional           </w:t>
            </w:r>
          </w:p>
        </w:tc>
        <w:tc>
          <w:tcPr>
            <w:tcW w:w="38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Class A ordinary share from us within 30 days of</w:t>
            </w:r>
          </w:p>
        </w:tc>
      </w:tr>
      <w:tr>
        <w:trPr>
          <w:trHeight w:val="216"/>
        </w:trPr>
        <w:tc>
          <w:tcPr>
            <w:tcW w:w="5200" w:type="dxa"/>
            <w:vAlign w:val="bottom"/>
          </w:tcPr>
          <w:p>
            <w:pPr>
              <w:spacing w:after="0"/>
              <w:rPr>
                <w:sz w:val="18"/>
                <w:szCs w:val="18"/>
                <w:color w:val="auto"/>
              </w:rPr>
            </w:pPr>
          </w:p>
        </w:tc>
        <w:tc>
          <w:tcPr>
            <w:tcW w:w="544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the date of this prospectus, to cover over-allotments, if any, in connection</w:t>
            </w:r>
          </w:p>
        </w:tc>
      </w:tr>
      <w:tr>
        <w:trPr>
          <w:trHeight w:val="234"/>
        </w:trPr>
        <w:tc>
          <w:tcPr>
            <w:tcW w:w="5200" w:type="dxa"/>
            <w:vAlign w:val="bottom"/>
          </w:tcPr>
          <w:p>
            <w:pPr>
              <w:spacing w:after="0"/>
              <w:rPr>
                <w:sz w:val="20"/>
                <w:szCs w:val="20"/>
                <w:color w:val="auto"/>
              </w:rPr>
            </w:pPr>
          </w:p>
        </w:tc>
        <w:tc>
          <w:tcPr>
            <w:tcW w:w="16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with the offering.</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48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We have applied to list the ADSs representing our Class 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ordinary</w:t>
            </w:r>
          </w:p>
        </w:tc>
      </w:tr>
      <w:tr>
        <w:trPr>
          <w:trHeight w:val="216"/>
        </w:trPr>
        <w:tc>
          <w:tcPr>
            <w:tcW w:w="5200" w:type="dxa"/>
            <w:vAlign w:val="bottom"/>
          </w:tcPr>
          <w:p>
            <w:pPr>
              <w:spacing w:after="0"/>
              <w:rPr>
                <w:sz w:val="18"/>
                <w:szCs w:val="18"/>
                <w:color w:val="auto"/>
              </w:rPr>
            </w:pPr>
          </w:p>
        </w:tc>
        <w:tc>
          <w:tcPr>
            <w:tcW w:w="544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shares on the Nasdaq Global Select Market, or Nasdaq, under the symbol</w:t>
            </w:r>
          </w:p>
        </w:tc>
      </w:tr>
      <w:tr>
        <w:trPr>
          <w:trHeight w:val="234"/>
        </w:trPr>
        <w:tc>
          <w:tcPr>
            <w:tcW w:w="5200" w:type="dxa"/>
            <w:vAlign w:val="bottom"/>
          </w:tcPr>
          <w:p>
            <w:pPr>
              <w:spacing w:after="0"/>
              <w:rPr>
                <w:sz w:val="20"/>
                <w:szCs w:val="20"/>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5"/>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48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We estimate that the net proceeds to us from the offering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will be</w:t>
            </w:r>
          </w:p>
        </w:tc>
      </w:tr>
      <w:tr>
        <w:trPr>
          <w:trHeight w:val="216"/>
        </w:trPr>
        <w:tc>
          <w:tcPr>
            <w:tcW w:w="5200" w:type="dxa"/>
            <w:vAlign w:val="bottom"/>
          </w:tcPr>
          <w:p>
            <w:pPr>
              <w:spacing w:after="0"/>
              <w:rPr>
                <w:sz w:val="18"/>
                <w:szCs w:val="18"/>
                <w:color w:val="auto"/>
              </w:rPr>
            </w:pPr>
          </w:p>
        </w:tc>
        <w:tc>
          <w:tcPr>
            <w:tcW w:w="16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approximately US$ </w:t>
            </w:r>
          </w:p>
        </w:tc>
        <w:tc>
          <w:tcPr>
            <w:tcW w:w="28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 xml:space="preserve">      million, or approximately US$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w:t>
            </w:r>
          </w:p>
        </w:tc>
      </w:tr>
      <w:tr>
        <w:trPr>
          <w:trHeight w:val="216"/>
        </w:trPr>
        <w:tc>
          <w:tcPr>
            <w:tcW w:w="5200" w:type="dxa"/>
            <w:vAlign w:val="bottom"/>
          </w:tcPr>
          <w:p>
            <w:pPr>
              <w:spacing w:after="0"/>
              <w:rPr>
                <w:sz w:val="18"/>
                <w:szCs w:val="18"/>
                <w:color w:val="auto"/>
              </w:rPr>
            </w:pPr>
          </w:p>
        </w:tc>
        <w:tc>
          <w:tcPr>
            <w:tcW w:w="544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if the underwriters exercise their option to purchase additional ADSs in</w:t>
            </w:r>
          </w:p>
        </w:tc>
      </w:tr>
      <w:tr>
        <w:trPr>
          <w:trHeight w:val="234"/>
        </w:trPr>
        <w:tc>
          <w:tcPr>
            <w:tcW w:w="5200" w:type="dxa"/>
            <w:vAlign w:val="bottom"/>
          </w:tcPr>
          <w:p>
            <w:pPr>
              <w:spacing w:after="0"/>
              <w:rPr>
                <w:sz w:val="20"/>
                <w:szCs w:val="20"/>
                <w:color w:val="auto"/>
              </w:rPr>
            </w:pPr>
          </w:p>
        </w:tc>
        <w:tc>
          <w:tcPr>
            <w:tcW w:w="544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full, based on the midpoint of the estimated initial public offering price</w:t>
            </w:r>
          </w:p>
        </w:tc>
      </w:tr>
    </w:tbl>
    <w:p>
      <w:pPr>
        <w:ind w:left="5620"/>
        <w:spacing w:after="0"/>
        <w:rPr>
          <w:sz w:val="20"/>
          <w:szCs w:val="20"/>
          <w:color w:val="auto"/>
        </w:rPr>
      </w:pPr>
      <w:r>
        <w:rPr>
          <w:rFonts w:ascii="Times New Roman" w:cs="Times New Roman" w:eastAsia="Times New Roman" w:hAnsi="Times New Roman"/>
          <w:sz w:val="18"/>
          <w:szCs w:val="18"/>
          <w:color w:val="auto"/>
        </w:rPr>
        <w:t>range set forth on the front cover of this prospectus, after deducting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underwriting discounts and commissions and estimated expenses payable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us.</w:t>
      </w:r>
    </w:p>
    <w:p>
      <w:pPr>
        <w:spacing w:after="0" w:line="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(i) enhancing our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digitalization solutions and expanding our transaction services to auto</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merchants, (ii) additional investment in technological capabilities, and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(iii) general corporate purposes and working capital. See “Use 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Proceeds.”</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48901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489013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Lock-up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our directors, executive officers and existing shareholders have agreed with the underwriters, subject to certain exceptions, not to offer, sell, or dispose of any shares of our share capital or securities convertible into or exchangeable or exercisable for any shares of our share capital during the 180-day period following the date of this prospectus. For more information, see “Shares Eligible for Future Sale” and “Underwriting.”</w:t>
      </w:r>
    </w:p>
    <w:p>
      <w:pPr>
        <w:spacing w:after="0" w:line="52" w:lineRule="exact"/>
        <w:rPr>
          <w:sz w:val="20"/>
          <w:szCs w:val="20"/>
          <w:color w:val="auto"/>
        </w:rPr>
      </w:pPr>
    </w:p>
    <w:p>
      <w:pPr>
        <w:sectPr>
          <w:pgSz w:w="11900" w:h="16838" w:orient="portrait"/>
          <w:cols w:equalWidth="0" w:num="2">
            <w:col w:w="4900" w:space="720"/>
            <w:col w:w="532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Payment and settlement</w:t>
      </w:r>
    </w:p>
    <w:p>
      <w:pPr>
        <w:spacing w:after="0" w:line="20" w:lineRule="exact"/>
        <w:rPr>
          <w:sz w:val="20"/>
          <w:szCs w:val="20"/>
          <w:color w:val="auto"/>
        </w:rPr>
      </w:pPr>
      <w:r>
        <w:rPr>
          <w:sz w:val="20"/>
          <w:szCs w:val="20"/>
          <w:color w:val="auto"/>
        </w:rPr>
        <w:br w:type="column"/>
      </w: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underwriters expect to deliver the ADSs against payment therefor through the facilities of The Depository Trust Company on         , 2023.</w:t>
      </w:r>
    </w:p>
    <w:p>
      <w:pPr>
        <w:spacing w:after="0" w:line="200" w:lineRule="exact"/>
        <w:rPr>
          <w:sz w:val="20"/>
          <w:szCs w:val="20"/>
          <w:color w:val="auto"/>
        </w:rPr>
      </w:pPr>
    </w:p>
    <w:p>
      <w:pPr>
        <w:sectPr>
          <w:pgSz w:w="11900" w:h="16838" w:orient="portrait"/>
          <w:cols w:equalWidth="0" w:num="2">
            <w:col w:w="4900" w:space="720"/>
            <w:col w:w="5320"/>
          </w:cols>
          <w:pgMar w:left="320" w:top="455" w:right="639" w:bottom="1440" w:gutter="0" w:footer="0" w:header="0"/>
          <w:type w:val="continuous"/>
        </w:sectPr>
      </w:pP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Depositary Taxation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Cayman Islands, PRC and U.S. federal income tax considerations with respect to the ownership and disposition of the ADSs, see “Taxation.”</w:t>
      </w:r>
    </w:p>
    <w:p>
      <w:pPr>
        <w:spacing w:after="0" w:line="41" w:lineRule="exact"/>
        <w:rPr>
          <w:sz w:val="20"/>
          <w:szCs w:val="20"/>
          <w:color w:val="auto"/>
        </w:rPr>
      </w:pPr>
    </w:p>
    <w:p>
      <w:pPr>
        <w:sectPr>
          <w:pgSz w:w="11900" w:h="16838" w:orient="portrait"/>
          <w:cols w:equalWidth="0" w:num="2">
            <w:col w:w="4900" w:space="720"/>
            <w:col w:w="532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See “Risk Factors” and other information included in this prospectus for discussions of the risks relating to investing in the ADSs. You should carefully consider these risks before deciding to invest in the ADSs.</w:t>
      </w:r>
    </w:p>
    <w:p>
      <w:pPr>
        <w:spacing w:after="0" w:line="176" w:lineRule="exact"/>
        <w:rPr>
          <w:sz w:val="20"/>
          <w:szCs w:val="20"/>
          <w:color w:val="auto"/>
        </w:rPr>
      </w:pPr>
    </w:p>
    <w:p>
      <w:pPr>
        <w:sectPr>
          <w:pgSz w:w="11900" w:h="16838" w:orient="portrait"/>
          <w:cols w:equalWidth="0" w:num="2">
            <w:col w:w="4900" w:space="720"/>
            <w:col w:w="5320"/>
          </w:cols>
          <w:pgMar w:left="320" w:top="455" w:right="639" w:bottom="1440" w:gutter="0" w:footer="0" w:header="0"/>
          <w:type w:val="continuous"/>
        </w:sect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assumes no exercise of the option granted to the underwriters to purchase up to         additional Class A ordinary shares to cover over-allotments, if any, in connection with the offering.</w:t>
      </w:r>
    </w:p>
    <w:p>
      <w:pPr>
        <w:sectPr>
          <w:pgSz w:w="11900" w:h="16838" w:orient="portrait"/>
          <w:cols w:equalWidth="0" w:num="1">
            <w:col w:w="10940"/>
          </w:cols>
          <w:pgMar w:left="320" w:top="455" w:right="639" w:bottom="1440" w:gutter="0" w:footer="0" w:header="0"/>
          <w:type w:val="continuous"/>
        </w:sectPr>
      </w:pP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the number of ordinary shares that will be issued and outstanding immediately after this offering:</w:t>
      </w:r>
    </w:p>
    <w:p>
      <w:pPr>
        <w:spacing w:after="0" w:line="131" w:lineRule="exact"/>
        <w:rPr>
          <w:sz w:val="20"/>
          <w:szCs w:val="20"/>
          <w:color w:val="auto"/>
        </w:rPr>
      </w:pPr>
    </w:p>
    <w:p>
      <w:pPr>
        <w:ind w:left="1240" w:hanging="523"/>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upon 941,449,847 ordinary shares (including 610,157,244 Class A ordinary shares and 331,292,603 Class B ordinary shares) on an as-converted basis outstanding as of the date of this prospectus;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ADSs representing Class A ordinary shares;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2,507,698 Class A ordinary authorized and reserved for issuance upon the exercise of the Yunyang Warrants;</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79,479,455 Class A ordinary shares issuable upon the exercise of 79,479,455 share options outstanding as of the date of this prospectus, which were granted pursuant to the 2023 Plan; and</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16,008,298 Class A ordinary shares reserved for future issuances upon the exercise of share options to be granted pursuant to the 2023 Plan.</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more information about the 2023 Plan and the Yunyang Warrants, see “Management.”</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8815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1881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OUR SUMMARY COMBINED AND CONSOLIDATED FINANCIAL DATA AND OPERATING DATA</w:t>
      </w:r>
    </w:p>
    <w:p>
      <w:pPr>
        <w:spacing w:after="0" w:line="229"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The following summary combined statements of net loss data for the years ended December 31, 2021 and 2022, summary combined balance sheets data as of December 31, 2021 and 2022, and summary combined statements of cash flows data for the years ended December 31, 2021 and 2022 have been derived from the audited combined financial statements of our Company included elsewhere in this prospectus, which were prepared and presented in accordance with U.S. GAAP. The following summary combined and consolidated statements of operations for the six months ended June 30, 2022 and 2023, summary combined and consolidated balance sheet data as of June 30, 2023 and summary combined and consolidated cash flow data for the six months ended June 30, 2022 and 2023 have been derived from our unaudited interim condensed combined and consolidated financial statements included elsewhere in this prospectus. Our historical results are not necessarily indicative of results expected for future periods. You should read this Our Summary Combined and Consolidated Financial Data and Operating Data section together with our combined and consolidated financial statements and the related notes and “Management’s Discussion and Analysis of Financial Condition and Results of Operations” included elsewhere in this prospectus.</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61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our summary combined and consolidated statements of net loss data for the periods indicated.</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8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60" w:type="dxa"/>
            <w:vAlign w:val="bottom"/>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260" w:type="dxa"/>
            <w:vAlign w:val="bottom"/>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980" w:type="dxa"/>
            <w:vAlign w:val="bottom"/>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28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8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80" w:type="dxa"/>
            <w:vAlign w:val="bottom"/>
            <w:gridSpan w:val="10"/>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Combined and Consolidated Statements</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of Net Loss Data</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Digitalization solutions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66,249</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Transaction services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268,599</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363,832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50,175</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142,478</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278,373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387,485</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564,956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77,911</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208,727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353,577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(313,934)</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(373,096)</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(51,452)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(144,815)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(220,713)</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73,551</w:t>
            </w:r>
          </w:p>
        </w:tc>
        <w:tc>
          <w:tcPr>
            <w:tcW w:w="2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191,860</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26,459</w:t>
            </w:r>
          </w:p>
        </w:tc>
        <w:tc>
          <w:tcPr>
            <w:tcW w:w="2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63,912</w:t>
            </w:r>
          </w:p>
        </w:tc>
        <w:tc>
          <w:tcPr>
            <w:tcW w:w="2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132,864</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(213,379)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(255,922)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(35,293)</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(144,563)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(125,566)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(17,316)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(128,256)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(205,345)</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(28,318)</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(109,713)</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(80,492)</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(188,745)</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(117,905)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(16,260)</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(71,315)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(39,654)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(5,469)</w:t>
            </w:r>
          </w:p>
        </w:tc>
        <w:tc>
          <w:tcPr>
            <w:tcW w:w="0" w:type="dxa"/>
            <w:vAlign w:val="bottom"/>
          </w:tcPr>
          <w:p>
            <w:pPr>
              <w:spacing w:after="0"/>
              <w:rPr>
                <w:sz w:val="1"/>
                <w:szCs w:val="1"/>
                <w:color w:val="auto"/>
              </w:rPr>
            </w:pPr>
          </w:p>
        </w:tc>
      </w:tr>
      <w:tr>
        <w:trPr>
          <w:trHeight w:val="217"/>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(530,380)</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(579,172)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(79,871)</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(325,591)</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(245,712)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(456,829)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(387,312)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(53,412)</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(261,679)</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(112,848)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(15,563)</w:t>
            </w:r>
          </w:p>
        </w:tc>
        <w:tc>
          <w:tcPr>
            <w:tcW w:w="0" w:type="dxa"/>
            <w:vAlign w:val="bottom"/>
          </w:tcPr>
          <w:p>
            <w:pPr>
              <w:spacing w:after="0"/>
              <w:rPr>
                <w:sz w:val="1"/>
                <w:szCs w:val="1"/>
                <w:color w:val="auto"/>
              </w:rPr>
            </w:pPr>
          </w:p>
        </w:tc>
      </w:tr>
      <w:tr>
        <w:trPr>
          <w:trHeight w:val="204"/>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(loss)/income, net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 net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(512)</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(4,937)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(682)</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(456,161)</w:t>
            </w:r>
          </w:p>
        </w:tc>
        <w:tc>
          <w:tcPr>
            <w:tcW w:w="2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(394,322)</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(54,379)</w:t>
            </w:r>
          </w:p>
        </w:tc>
        <w:tc>
          <w:tcPr>
            <w:tcW w:w="2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(262,027)</w:t>
            </w:r>
          </w:p>
        </w:tc>
        <w:tc>
          <w:tcPr>
            <w:tcW w:w="2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(111,921)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benefits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(146)</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Share of profit from equity method investments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(445,294)</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(390,851)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(53,900)</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(260,224)</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(113,683)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(1,584)</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(8,668)</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(1,195)</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(4,158)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(6,804)</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the Company</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(443,710)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(382,183)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(52,705)</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(256,066)</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(106,879)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the Company’s preferred shares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(5,781,394)</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(797,291)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ordinary shareholder of the</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(256,066)</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(5,888,273)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(812,031)</w:t>
            </w:r>
          </w:p>
        </w:tc>
        <w:tc>
          <w:tcPr>
            <w:tcW w:w="0" w:type="dxa"/>
            <w:vAlign w:val="bottom"/>
          </w:tcPr>
          <w:p>
            <w:pPr>
              <w:spacing w:after="0"/>
              <w:rPr>
                <w:sz w:val="1"/>
                <w:szCs w:val="1"/>
                <w:color w:val="auto"/>
              </w:rPr>
            </w:pPr>
          </w:p>
        </w:tc>
      </w:tr>
      <w:tr>
        <w:trPr>
          <w:trHeight w:val="194"/>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loss per share attributable to ordinary</w:t>
            </w: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(3.26)</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(0.39)</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(1.88)</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194"/>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used</w:t>
            </w: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 calculating net loss per share: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136,159,402</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136,159,402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136,159,402</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136,159,402</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136,159,402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136,159,402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 forma net loss per share attributable to</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80" w:type="dxa"/>
            <w:vAlign w:val="bottom"/>
          </w:tcPr>
          <w:p>
            <w:pPr>
              <w:ind w:left="140"/>
              <w:spacing w:after="0" w:line="219" w:lineRule="exact"/>
              <w:rPr>
                <w:sz w:val="20"/>
                <w:szCs w:val="20"/>
                <w:color w:val="auto"/>
              </w:rPr>
            </w:pPr>
            <w:r>
              <w:rPr>
                <w:rFonts w:ascii="Times New Roman" w:cs="Times New Roman" w:eastAsia="Times New Roman" w:hAnsi="Times New Roman"/>
                <w:sz w:val="16"/>
                <w:szCs w:val="16"/>
                <w:b w:val="1"/>
                <w:bCs w:val="1"/>
                <w:color w:val="auto"/>
              </w:rPr>
              <w:t>ordinary shareholders:</w:t>
            </w:r>
            <w:r>
              <w:rPr>
                <w:rFonts w:ascii="Times New Roman" w:cs="Times New Roman" w:eastAsia="Times New Roman" w:hAnsi="Times New Roman"/>
                <w:sz w:val="24"/>
                <w:szCs w:val="24"/>
                <w:b w:val="1"/>
                <w:bCs w:val="1"/>
                <w:color w:val="auto"/>
                <w:vertAlign w:val="superscript"/>
              </w:rPr>
              <w:t>(1)</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(unaudited)</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(0.07)</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r>
        <w:trPr>
          <w:trHeight w:val="193"/>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 forma weighted-average ordinary shares</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80" w:type="dxa"/>
            <w:vAlign w:val="bottom"/>
          </w:tcPr>
          <w:p>
            <w:pPr>
              <w:ind w:left="140"/>
              <w:spacing w:after="0" w:line="219" w:lineRule="exact"/>
              <w:rPr>
                <w:sz w:val="20"/>
                <w:szCs w:val="20"/>
                <w:color w:val="auto"/>
              </w:rPr>
            </w:pP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24"/>
                <w:szCs w:val="24"/>
                <w:b w:val="1"/>
                <w:bCs w:val="1"/>
                <w:color w:val="auto"/>
                <w:vertAlign w:val="superscript"/>
              </w:rPr>
              <w:t>(1)</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(unaudited)</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941,449,847</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941,449,847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941,449,847</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941,449,847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73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560" w:right="200" w:hanging="883"/>
        <w:spacing w:after="0" w:line="253" w:lineRule="auto"/>
        <w:rPr>
          <w:sz w:val="20"/>
          <w:szCs w:val="20"/>
          <w:color w:val="auto"/>
        </w:rPr>
      </w:pPr>
      <w:r>
        <w:rPr>
          <w:rFonts w:ascii="Times New Roman" w:cs="Times New Roman" w:eastAsia="Times New Roman" w:hAnsi="Times New Roman"/>
          <w:sz w:val="18"/>
          <w:szCs w:val="18"/>
          <w:color w:val="auto"/>
        </w:rPr>
        <w:t>Note:  (1) Pro forma net loss attributable to ordinary shareholders includes impact from the amount of share-based compensation expense that will be recognized immediately upon completion of this offering of RMB112.4 million and RMB119.8 million (US$16.5 million) for the year ended December 31, 2022 and the six months ended June 30, 2023, respectively. Pro forma weighted-average number of ordinary shares presented and used in pro forma net loss per share attributable to ordinary shareholders includes the following effects: (i) the automatic conversion or redesignation of 600,621,204 issued and outstanding preferred shares (including the 24,422,238 Series G preferred shares issued in August 2023, but excluding Series E-3 and Series F preferred shares) into 600,621,204 ordinary shares on a one-for-one basis, immediately prior to the completion of this offering and (ii) the automatic conversion or redesignation of 43,099,293 Series E-3 preferred shares and 160,532,881 Series F preferred shares at a ratio of approximately 0.9984:1 and 0.9940:1, respectively, into an aggregate of 204,669,241 ordinary shares immediately prior to the completion of this offering.</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our summary combined and consolidated balance sheets data as of the dates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top w:val="single" w:sz="8" w:color="auto"/>
            </w:tcBorders>
            <w:gridSpan w:val="3"/>
          </w:tcPr>
          <w:p>
            <w:pPr>
              <w:jc w:val="center"/>
              <w:ind w:left="5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14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Combined and Consolidated Balance Sheets Data:</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161,012</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22,205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Account receivables, net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105,369</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14,531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12,779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39,762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318,394</w:t>
            </w: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504,028</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69,509</w:t>
            </w:r>
          </w:p>
        </w:tc>
        <w:tc>
          <w:tcPr>
            <w:tcW w:w="1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617,979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920,677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993,755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137,046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1,239,071</w:t>
            </w: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1,497,783</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206,555</w:t>
            </w:r>
          </w:p>
        </w:tc>
        <w:tc>
          <w:tcPr>
            <w:tcW w:w="1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1,595,380</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and customer advance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353,827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36,132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176,684</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195,732</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26,994</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209,031</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603,405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415,232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57,264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444,420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9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26,206</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309,215</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42,642</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489,226</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629,611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724,447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99,906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1,239,071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1,497,783</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206,555</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1,595,380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220,011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80" w:type="dxa"/>
            <w:vAlign w:val="bottom"/>
            <w:tcBorders>
              <w:bottom w:val="single" w:sz="8" w:color="auto"/>
            </w:tcBorders>
          </w:tcPr>
          <w:p>
            <w:pPr>
              <w:spacing w:after="0"/>
              <w:rPr>
                <w:sz w:val="13"/>
                <w:szCs w:val="13"/>
                <w:color w:val="auto"/>
              </w:rPr>
            </w:pPr>
          </w:p>
        </w:tc>
        <w:tc>
          <w:tcPr>
            <w:tcW w:w="49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our summary combined and consolidated statements of cash flows data for the periods indicated.</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6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70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72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5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5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Combined and Consolidated Statement of Cash Flows</w:t>
            </w: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Data:</w:t>
            </w: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(428,120)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(440,379)</w:t>
            </w:r>
          </w:p>
        </w:tc>
        <w:tc>
          <w:tcPr>
            <w:tcW w:w="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(60,729)</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(195,257)</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(92,948)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(15,021)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(16,345)</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(6,377)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472,864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508,793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70,165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207,789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178,037</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29,808</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52,090</w:t>
            </w: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86,254</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116,062</w:t>
            </w:r>
          </w:p>
        </w:tc>
        <w:tc>
          <w:tcPr>
            <w:tcW w:w="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16,006</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116,062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116,062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23,190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251,381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use adjusted loss for the year,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176" w:lineRule="exact"/>
        <w:rPr>
          <w:sz w:val="20"/>
          <w:szCs w:val="20"/>
          <w:color w:val="auto"/>
        </w:rPr>
      </w:pPr>
    </w:p>
    <w:p>
      <w:pPr>
        <w:jc w:val="both"/>
        <w:ind w:left="300" w:firstLine="426"/>
        <w:spacing w:after="0" w:line="256" w:lineRule="auto"/>
        <w:rPr>
          <w:sz w:val="20"/>
          <w:szCs w:val="20"/>
          <w:color w:val="auto"/>
        </w:rPr>
      </w:pPr>
      <w:r>
        <w:rPr>
          <w:rFonts w:ascii="Times New Roman" w:cs="Times New Roman" w:eastAsia="Times New Roman" w:hAnsi="Times New Roman"/>
          <w:sz w:val="18"/>
          <w:szCs w:val="18"/>
          <w:color w:val="auto"/>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87"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Adjusted loss for the year represents net loss for the year excluding share-based compensation expenses and intangible asset amortization, which we do not consider to be indicative of our core operating performance. The table below sets forth a reconciliation of our net loss for the periods to adjusted net loss for the periods indicated.</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72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7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74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7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2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7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5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(GAAP)</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(445,294)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(390,851)</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(53,900)</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(260,224)</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(113,683)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(15,678)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Intangible asset amortization</w:t>
            </w:r>
            <w:r>
              <w:rPr>
                <w:rFonts w:ascii="Times New Roman" w:cs="Times New Roman" w:eastAsia="Times New Roman" w:hAnsi="Times New Roman"/>
                <w:sz w:val="25"/>
                <w:szCs w:val="25"/>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29,410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14,365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loss (non-GAAP)</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(409,485)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(361,441)</w:t>
            </w:r>
          </w:p>
        </w:tc>
        <w:tc>
          <w:tcPr>
            <w:tcW w:w="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(49,844)</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(245,276)</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(99,318)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(13,697)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Note:   (1) This represents amortization of intangible assets resulting from business combinations.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01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VIE Consolidating Schedules</w:t>
      </w:r>
    </w:p>
    <w:p>
      <w:pPr>
        <w:spacing w:after="0" w:line="121" w:lineRule="exact"/>
        <w:rPr>
          <w:sz w:val="20"/>
          <w:szCs w:val="20"/>
          <w:color w:val="auto"/>
        </w:rPr>
      </w:pPr>
    </w:p>
    <w:p>
      <w:pPr>
        <w:jc w:val="both"/>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tables set forth the summary combined balance sheets data as of December 31, 2021 and 2022 of (i) DSC Holdings Ltd., our ultimate holding company; (ii) the WFOEs, namely, Hangzhou Dasouche Information Technology Service Co., Ltd. and CheYiPai (Beijing) Automotive Technology Service Co., Ltd, the PRC subsidiaries of the Company that have entered into contractual arrangements with the VIEs, the VIEs’ shareholders and, as applicable, their spouses; (iii) the VIEs, namely Hangzhou Souche and Beijing Peak, and their respective subsidiaries; and (iv) the Company’s subsidiaries other than the WFOEs, and the related summary of the combined statements of income and cash flows data for the years ended December 31, 2021 and 2022. Our combined financial statements are prepared and presented in accordance with U.S. GAAP.</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Summary combined consolidating balance sheets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12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DSC</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WFOEs</w:t>
            </w:r>
          </w:p>
        </w:tc>
        <w:tc>
          <w:tcPr>
            <w:tcW w:w="220" w:type="dxa"/>
            <w:vAlign w:val="bottom"/>
          </w:tcPr>
          <w:p>
            <w:pPr>
              <w:spacing w:after="0"/>
              <w:rPr>
                <w:sz w:val="10"/>
                <w:szCs w:val="10"/>
                <w:color w:val="auto"/>
              </w:rPr>
            </w:pPr>
          </w:p>
        </w:tc>
        <w:tc>
          <w:tcPr>
            <w:tcW w:w="118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104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Holdings Ltd.</w:t>
            </w: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40,655</w:t>
            </w: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118,021</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161,012</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45,143</w:t>
            </w: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58,421</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105,369</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4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19,974</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70,694</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33,200</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39,762</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14,895</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24,841</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58,346</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21,031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137,542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345,455</w:t>
            </w:r>
          </w:p>
        </w:tc>
        <w:tc>
          <w:tcPr>
            <w:tcW w:w="30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504,028</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14,841</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19,955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interests in VIEs and their subsidiaries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649,627</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(649,627)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120,773</w:t>
            </w:r>
          </w:p>
        </w:tc>
        <w:tc>
          <w:tcPr>
            <w:tcW w:w="2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(120,773)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130,149</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130,149</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83,356</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649,974</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649,974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58,385</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30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770,400</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817,680</w:t>
            </w:r>
          </w:p>
        </w:tc>
        <w:tc>
          <w:tcPr>
            <w:tcW w:w="2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160,798</w:t>
            </w: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(770,400)</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993,755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Amounts due from the entities within DSC</w:t>
            </w:r>
            <w:r>
              <w:rPr>
                <w:rFonts w:ascii="Times New Roman" w:cs="Times New Roman" w:eastAsia="Times New Roman" w:hAnsi="Times New Roman"/>
                <w:sz w:val="25"/>
                <w:szCs w:val="25"/>
                <w:b w:val="1"/>
                <w:bCs w:val="1"/>
                <w:color w:val="auto"/>
                <w:vertAlign w:val="superscript"/>
              </w:rPr>
              <w:t>(1)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181,033</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572,199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145,086</w:t>
            </w:r>
          </w:p>
        </w:tc>
        <w:tc>
          <w:tcPr>
            <w:tcW w:w="30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(898,318)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770,400</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217,341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1,527,421</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651,339</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(1,668,718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1,497,783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41"/>
        </w:trPr>
        <w:tc>
          <w:tcPr>
            <w:tcW w:w="180" w:type="dxa"/>
            <w:vAlign w:val="bottom"/>
            <w:tcBorders>
              <w:top w:val="single" w:sz="8" w:color="auto"/>
              <w:left w:val="single" w:sz="8" w:color="auto"/>
            </w:tcBorders>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20" w:type="dxa"/>
            <w:vAlign w:val="bottom"/>
            <w:tcBorders>
              <w:top w:val="single" w:sz="8" w:color="auto"/>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0" w:type="dxa"/>
            <w:vAlign w:val="bottom"/>
            <w:tcBorders>
              <w:left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860" w:type="dxa"/>
            <w:vAlign w:val="bottom"/>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DSC</w:t>
            </w:r>
          </w:p>
        </w:tc>
        <w:tc>
          <w:tcPr>
            <w:tcW w:w="360" w:type="dxa"/>
            <w:vAlign w:val="bottom"/>
          </w:tcPr>
          <w:p>
            <w:pPr>
              <w:spacing w:after="0"/>
              <w:rPr>
                <w:sz w:val="10"/>
                <w:szCs w:val="10"/>
                <w:color w:val="auto"/>
              </w:rPr>
            </w:pPr>
          </w:p>
        </w:tc>
        <w:tc>
          <w:tcPr>
            <w:tcW w:w="78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WFOEs</w:t>
            </w:r>
          </w:p>
        </w:tc>
        <w:tc>
          <w:tcPr>
            <w:tcW w:w="24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360" w:type="dxa"/>
            <w:vAlign w:val="bottom"/>
          </w:tcPr>
          <w:p>
            <w:pPr>
              <w:spacing w:after="0"/>
              <w:rPr>
                <w:sz w:val="10"/>
                <w:szCs w:val="10"/>
                <w:color w:val="auto"/>
              </w:rPr>
            </w:pPr>
          </w:p>
        </w:tc>
        <w:tc>
          <w:tcPr>
            <w:tcW w:w="110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14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73"/>
        </w:trPr>
        <w:tc>
          <w:tcPr>
            <w:tcW w:w="180" w:type="dxa"/>
            <w:vAlign w:val="bottom"/>
            <w:tcBorders>
              <w:left w:val="single" w:sz="8" w:color="auto"/>
            </w:tcBorders>
          </w:tcPr>
          <w:p>
            <w:pPr>
              <w:spacing w:after="0"/>
              <w:rPr>
                <w:sz w:val="15"/>
                <w:szCs w:val="15"/>
                <w:color w:val="auto"/>
              </w:rPr>
            </w:pPr>
          </w:p>
        </w:tc>
        <w:tc>
          <w:tcPr>
            <w:tcW w:w="4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Holdings Ltd.</w:t>
            </w:r>
          </w:p>
        </w:tc>
        <w:tc>
          <w:tcPr>
            <w:tcW w:w="3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36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140" w:type="dxa"/>
            <w:vAlign w:val="bottom"/>
            <w:gridSpan w:val="2"/>
            <w:vMerge w:val="continue"/>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4"/>
          </w:tcPr>
          <w:p>
            <w:pPr>
              <w:jc w:val="right"/>
              <w:ind w:right="9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40,000</w:t>
            </w: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725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20,249</w:t>
            </w: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and customer advance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43,155</w:t>
            </w: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65,001</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31,789</w:t>
            </w: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36,132</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13,600</w:t>
            </w: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132,779</w:t>
            </w:r>
          </w:p>
        </w:tc>
        <w:tc>
          <w:tcPr>
            <w:tcW w:w="3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54,305</w:t>
            </w: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195,732</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vMerge w:val="restart"/>
          </w:tcPr>
          <w:p>
            <w:pPr>
              <w:spacing w:after="0"/>
              <w:rPr>
                <w:sz w:val="2"/>
                <w:szCs w:val="2"/>
                <w:color w:val="auto"/>
              </w:rPr>
            </w:pPr>
          </w:p>
        </w:tc>
        <w:tc>
          <w:tcPr>
            <w:tcW w:w="4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15,303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196,831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203,098</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415,232</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702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183,583</w:t>
            </w:r>
          </w:p>
        </w:tc>
        <w:tc>
          <w:tcPr>
            <w:tcW w:w="380" w:type="dxa"/>
            <w:vAlign w:val="bottom"/>
          </w:tcPr>
          <w:p>
            <w:pPr>
              <w:spacing w:after="0"/>
              <w:rPr>
                <w:sz w:val="19"/>
                <w:szCs w:val="19"/>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225,576</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69,842</w:t>
            </w: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76,947</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380" w:type="dxa"/>
            <w:vAlign w:val="bottom"/>
          </w:tcPr>
          <w:p>
            <w:pPr>
              <w:spacing w:after="0"/>
              <w:rPr>
                <w:sz w:val="19"/>
                <w:szCs w:val="19"/>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46,113</w:t>
            </w: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257,103</w:t>
            </w:r>
          </w:p>
        </w:tc>
        <w:tc>
          <w:tcPr>
            <w:tcW w:w="3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309,215</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Borders>
              <w:left w:val="single" w:sz="8" w:color="auto"/>
            </w:tcBorders>
            <w:gridSpan w:val="2"/>
          </w:tcPr>
          <w:p>
            <w:pPr>
              <w:ind w:left="180"/>
              <w:spacing w:after="0" w:line="223" w:lineRule="exact"/>
              <w:rPr>
                <w:sz w:val="20"/>
                <w:szCs w:val="20"/>
                <w:color w:val="auto"/>
              </w:rPr>
            </w:pPr>
            <w:r>
              <w:rPr>
                <w:rFonts w:ascii="Times New Roman" w:cs="Times New Roman" w:eastAsia="Times New Roman" w:hAnsi="Times New Roman"/>
                <w:sz w:val="17"/>
                <w:szCs w:val="17"/>
                <w:b w:val="1"/>
                <w:bCs w:val="1"/>
                <w:color w:val="auto"/>
              </w:rPr>
              <w:t>Amounts due to the entities within DSC</w:t>
            </w:r>
            <w:r>
              <w:rPr>
                <w:rFonts w:ascii="Times New Roman" w:cs="Times New Roman" w:eastAsia="Times New Roman" w:hAnsi="Times New Roman"/>
                <w:sz w:val="25"/>
                <w:szCs w:val="25"/>
                <w:b w:val="1"/>
                <w:bCs w:val="1"/>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634,850</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177,511</w:t>
            </w:r>
          </w:p>
        </w:tc>
        <w:tc>
          <w:tcPr>
            <w:tcW w:w="3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(1,314,940</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523,881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877,794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637,712</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(1,314,940)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724,447</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lef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mezzanine equity and shareholders’ deficit</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tcBorders>
              <w:left w:val="single" w:sz="8" w:color="auto"/>
            </w:tcBorders>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770,400</w:t>
            </w:r>
          </w:p>
        </w:tc>
        <w:tc>
          <w:tcPr>
            <w:tcW w:w="3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(306,540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649,627</w:t>
            </w:r>
          </w:p>
        </w:tc>
        <w:tc>
          <w:tcPr>
            <w:tcW w:w="3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13,627</w:t>
            </w:r>
          </w:p>
        </w:tc>
        <w:tc>
          <w:tcPr>
            <w:tcW w:w="3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773,336</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left w:val="single" w:sz="8" w:color="auto"/>
              <w:bottom w:val="single" w:sz="8" w:color="auto"/>
            </w:tcBorders>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41"/>
        </w:trPr>
        <w:tc>
          <w:tcPr>
            <w:tcW w:w="180" w:type="dxa"/>
            <w:vAlign w:val="bottom"/>
            <w:tcBorders>
              <w:top w:val="single" w:sz="8" w:color="auto"/>
              <w:left w:val="single" w:sz="8" w:color="auto"/>
            </w:tcBorders>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560" w:type="dxa"/>
            <w:vAlign w:val="bottom"/>
            <w:tcBorders>
              <w:top w:val="single" w:sz="8" w:color="auto"/>
              <w:bottom w:val="single" w:sz="8" w:color="auto"/>
            </w:tcBorders>
            <w:gridSpan w:val="7"/>
          </w:tcPr>
          <w:p>
            <w:pPr>
              <w:jc w:val="right"/>
              <w:ind w:right="1021"/>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8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0" w:type="dxa"/>
            <w:vAlign w:val="bottom"/>
            <w:tcBorders>
              <w:left w:val="single" w:sz="8" w:color="auto"/>
            </w:tcBorders>
          </w:tcPr>
          <w:p>
            <w:pPr>
              <w:spacing w:after="0"/>
              <w:rPr>
                <w:sz w:val="10"/>
                <w:szCs w:val="10"/>
                <w:color w:val="auto"/>
              </w:rPr>
            </w:pPr>
          </w:p>
        </w:tc>
        <w:tc>
          <w:tcPr>
            <w:tcW w:w="4360" w:type="dxa"/>
            <w:vAlign w:val="bottom"/>
          </w:tcPr>
          <w:p>
            <w:pPr>
              <w:spacing w:after="0"/>
              <w:rPr>
                <w:sz w:val="10"/>
                <w:szCs w:val="10"/>
                <w:color w:val="auto"/>
              </w:rPr>
            </w:pPr>
          </w:p>
        </w:tc>
        <w:tc>
          <w:tcPr>
            <w:tcW w:w="860" w:type="dxa"/>
            <w:vAlign w:val="bottom"/>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DSC</w:t>
            </w:r>
          </w:p>
        </w:tc>
        <w:tc>
          <w:tcPr>
            <w:tcW w:w="26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WFOEs</w:t>
            </w:r>
          </w:p>
        </w:tc>
        <w:tc>
          <w:tcPr>
            <w:tcW w:w="200" w:type="dxa"/>
            <w:vAlign w:val="bottom"/>
          </w:tcPr>
          <w:p>
            <w:pPr>
              <w:spacing w:after="0"/>
              <w:rPr>
                <w:sz w:val="10"/>
                <w:szCs w:val="10"/>
                <w:color w:val="auto"/>
              </w:rPr>
            </w:pPr>
          </w:p>
        </w:tc>
        <w:tc>
          <w:tcPr>
            <w:tcW w:w="118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10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18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180" w:type="dxa"/>
            <w:vAlign w:val="bottom"/>
            <w:tcBorders>
              <w:left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Holdings Ltd.</w:t>
            </w:r>
          </w:p>
        </w:tc>
        <w:tc>
          <w:tcPr>
            <w:tcW w:w="2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80" w:type="dxa"/>
            <w:vAlign w:val="bottom"/>
            <w:gridSpan w:val="2"/>
            <w:vMerge w:val="continue"/>
          </w:tcPr>
          <w:p>
            <w:pPr>
              <w:spacing w:after="0"/>
              <w:rPr>
                <w:sz w:val="15"/>
                <w:szCs w:val="15"/>
                <w:color w:val="auto"/>
              </w:rPr>
            </w:pPr>
          </w:p>
        </w:tc>
        <w:tc>
          <w:tcPr>
            <w:tcW w:w="10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55,992</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56,986</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116,022</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27,305</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19,416</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46,878</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19,829</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36,830</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56,940</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14,058</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60,380</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78,515</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vMerge w:val="restart"/>
          </w:tcPr>
          <w:p>
            <w:pPr>
              <w:spacing w:after="0"/>
              <w:rPr>
                <w:sz w:val="2"/>
                <w:szCs w:val="2"/>
                <w:color w:val="auto"/>
              </w:rPr>
            </w:pPr>
          </w:p>
        </w:tc>
        <w:tc>
          <w:tcPr>
            <w:tcW w:w="4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126,158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184,677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318,394</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16,881</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interests in VIEs and their subsidiaries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245,827</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(245,827)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369,828</w:t>
            </w: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(369,828)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159,626</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16,088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60" w:type="dxa"/>
            <w:vAlign w:val="bottom"/>
          </w:tcPr>
          <w:p>
            <w:pPr>
              <w:spacing w:after="0"/>
              <w:rPr>
                <w:sz w:val="19"/>
                <w:szCs w:val="19"/>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32,492</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649,974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649,974</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4,311</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42,657</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615,655</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849,136</w:t>
            </w:r>
          </w:p>
        </w:tc>
        <w:tc>
          <w:tcPr>
            <w:tcW w:w="2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49,981</w:t>
            </w:r>
          </w:p>
        </w:tc>
        <w:tc>
          <w:tcPr>
            <w:tcW w:w="2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(615,655)</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920,677</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Amounts due from the entities within DSC</w:t>
            </w:r>
            <w:r>
              <w:rPr>
                <w:rFonts w:ascii="Times New Roman" w:cs="Times New Roman" w:eastAsia="Times New Roman" w:hAnsi="Times New Roman"/>
                <w:sz w:val="25"/>
                <w:szCs w:val="25"/>
                <w:b w:val="1"/>
                <w:bCs w:val="1"/>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287,494</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488,332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(914,170)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615,655</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316,613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1,113,638</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722,990</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(1,529,825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1,239,071</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left w:val="single" w:sz="8" w:color="auto"/>
              <w:bottom w:val="single" w:sz="8" w:color="auto"/>
            </w:tcBorders>
          </w:tcPr>
          <w:p>
            <w:pPr>
              <w:spacing w:after="0"/>
              <w:rPr>
                <w:sz w:val="13"/>
                <w:szCs w:val="13"/>
                <w:color w:val="auto"/>
              </w:rPr>
            </w:pPr>
          </w:p>
        </w:tc>
        <w:tc>
          <w:tcPr>
            <w:tcW w:w="4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41"/>
        </w:trPr>
        <w:tc>
          <w:tcPr>
            <w:tcW w:w="180" w:type="dxa"/>
            <w:vAlign w:val="bottom"/>
            <w:tcBorders>
              <w:top w:val="single" w:sz="8" w:color="auto"/>
              <w:left w:val="single" w:sz="8" w:color="auto"/>
            </w:tcBorders>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540" w:type="dxa"/>
            <w:vAlign w:val="bottom"/>
            <w:tcBorders>
              <w:top w:val="single" w:sz="8" w:color="auto"/>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8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0" w:type="dxa"/>
            <w:vAlign w:val="bottom"/>
            <w:tcBorders>
              <w:left w:val="single" w:sz="8" w:color="auto"/>
            </w:tcBorders>
          </w:tcPr>
          <w:p>
            <w:pPr>
              <w:spacing w:after="0"/>
              <w:rPr>
                <w:sz w:val="10"/>
                <w:szCs w:val="10"/>
                <w:color w:val="auto"/>
              </w:rPr>
            </w:pPr>
          </w:p>
        </w:tc>
        <w:tc>
          <w:tcPr>
            <w:tcW w:w="4360" w:type="dxa"/>
            <w:vAlign w:val="bottom"/>
          </w:tcPr>
          <w:p>
            <w:pPr>
              <w:spacing w:after="0"/>
              <w:rPr>
                <w:sz w:val="10"/>
                <w:szCs w:val="10"/>
                <w:color w:val="auto"/>
              </w:rPr>
            </w:pPr>
          </w:p>
        </w:tc>
        <w:tc>
          <w:tcPr>
            <w:tcW w:w="1120" w:type="dxa"/>
            <w:vAlign w:val="bottom"/>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DSC</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WFOEs</w:t>
            </w:r>
          </w:p>
        </w:tc>
        <w:tc>
          <w:tcPr>
            <w:tcW w:w="320" w:type="dxa"/>
            <w:vAlign w:val="bottom"/>
          </w:tcPr>
          <w:p>
            <w:pPr>
              <w:spacing w:after="0"/>
              <w:rPr>
                <w:sz w:val="10"/>
                <w:szCs w:val="10"/>
                <w:color w:val="auto"/>
              </w:rPr>
            </w:pPr>
          </w:p>
        </w:tc>
        <w:tc>
          <w:tcPr>
            <w:tcW w:w="1220" w:type="dxa"/>
            <w:vAlign w:val="bottom"/>
            <w:gridSpan w:val="3"/>
          </w:tcPr>
          <w:p>
            <w:pPr>
              <w:jc w:val="right"/>
              <w:ind w:right="210"/>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100" w:type="dxa"/>
            <w:vAlign w:val="bottom"/>
          </w:tcPr>
          <w:p>
            <w:pPr>
              <w:spacing w:after="0"/>
              <w:rPr>
                <w:sz w:val="10"/>
                <w:szCs w:val="10"/>
                <w:color w:val="auto"/>
              </w:rPr>
            </w:pPr>
          </w:p>
        </w:tc>
        <w:tc>
          <w:tcPr>
            <w:tcW w:w="90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8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0"/>
                <w:szCs w:val="10"/>
                <w:color w:val="auto"/>
              </w:rPr>
            </w:pPr>
          </w:p>
        </w:tc>
        <w:tc>
          <w:tcPr>
            <w:tcW w:w="9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180" w:type="dxa"/>
            <w:vAlign w:val="bottom"/>
            <w:tcBorders>
              <w:left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Holdings Ltd.</w:t>
            </w:r>
          </w:p>
        </w:tc>
        <w:tc>
          <w:tcPr>
            <w:tcW w:w="6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and customer advance</w:t>
            </w:r>
          </w:p>
        </w:tc>
        <w:tc>
          <w:tcPr>
            <w:tcW w:w="46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19,777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25,512</w:t>
            </w:r>
          </w:p>
        </w:tc>
        <w:tc>
          <w:tcPr>
            <w:tcW w:w="26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45,450</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131,485</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353,827</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6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5,339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6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113,628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176,684</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27,882</w:t>
            </w: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272,792</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302,731</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603,405</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6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vMerge w:val="restart"/>
          </w:tcPr>
          <w:p>
            <w:pPr>
              <w:spacing w:after="0"/>
              <w:rPr>
                <w:sz w:val="2"/>
                <w:szCs w:val="2"/>
                <w:color w:val="auto"/>
              </w:rPr>
            </w:pPr>
          </w:p>
        </w:tc>
        <w:tc>
          <w:tcPr>
            <w:tcW w:w="4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10,059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26,206</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Borders>
              <w:left w:val="single" w:sz="8" w:color="auto"/>
            </w:tcBorders>
            <w:gridSpan w:val="2"/>
          </w:tcPr>
          <w:p>
            <w:pPr>
              <w:ind w:left="180"/>
              <w:spacing w:after="0" w:line="223" w:lineRule="exact"/>
              <w:rPr>
                <w:sz w:val="20"/>
                <w:szCs w:val="20"/>
                <w:color w:val="auto"/>
              </w:rPr>
            </w:pPr>
            <w:r>
              <w:rPr>
                <w:rFonts w:ascii="Times New Roman" w:cs="Times New Roman" w:eastAsia="Times New Roman" w:hAnsi="Times New Roman"/>
                <w:sz w:val="17"/>
                <w:szCs w:val="17"/>
                <w:b w:val="1"/>
                <w:bCs w:val="1"/>
                <w:color w:val="auto"/>
              </w:rPr>
              <w:t>Amounts due to the entities within DSC</w:t>
            </w:r>
            <w:r>
              <w:rPr>
                <w:rFonts w:ascii="Times New Roman" w:cs="Times New Roman" w:eastAsia="Times New Roman" w:hAnsi="Times New Roman"/>
                <w:sz w:val="25"/>
                <w:szCs w:val="25"/>
                <w:b w:val="1"/>
                <w:bCs w:val="1"/>
                <w:color w:val="auto"/>
                <w:vertAlign w:val="superscript"/>
              </w:rPr>
              <w:t>(1)</w:t>
            </w:r>
          </w:p>
        </w:tc>
        <w:tc>
          <w:tcPr>
            <w:tcW w:w="4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355,587</w:t>
            </w: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584,960</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77,027</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(1,017,574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394,700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867,811</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384,674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(1,017,574)</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629,611</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lef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mezzanine equity and shareholders’ deficit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Borders>
              <w:left w:val="single" w:sz="8" w:color="auto"/>
            </w:tcBorders>
            <w:gridSpan w:val="2"/>
            <w:vMerge w:val="continue"/>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615,655</w:t>
            </w:r>
          </w:p>
        </w:tc>
        <w:tc>
          <w:tcPr>
            <w:tcW w:w="26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(78,087)</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245,827</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338,316</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(512,251)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609,460</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left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60" w:type="dxa"/>
            <w:vAlign w:val="bottom"/>
            <w:tcBorders>
              <w:lef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combined consolidating statements of income data</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Borders>
              <w:left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center"/>
              <w:ind w:right="821"/>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0" w:type="dxa"/>
            <w:vAlign w:val="bottom"/>
            <w:tcBorders>
              <w:left w:val="single" w:sz="8" w:color="auto"/>
            </w:tcBorders>
          </w:tcPr>
          <w:p>
            <w:pPr>
              <w:spacing w:after="0"/>
              <w:rPr>
                <w:sz w:val="10"/>
                <w:szCs w:val="10"/>
                <w:color w:val="auto"/>
              </w:rPr>
            </w:pPr>
          </w:p>
        </w:tc>
        <w:tc>
          <w:tcPr>
            <w:tcW w:w="4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gridSpan w:val="2"/>
          </w:tcPr>
          <w:p>
            <w:pPr>
              <w:jc w:val="center"/>
              <w:ind w:left="115"/>
              <w:spacing w:after="0" w:line="118" w:lineRule="exact"/>
              <w:rPr>
                <w:sz w:val="20"/>
                <w:szCs w:val="20"/>
                <w:color w:val="auto"/>
              </w:rPr>
            </w:pPr>
            <w:r>
              <w:rPr>
                <w:rFonts w:ascii="Times New Roman" w:cs="Times New Roman" w:eastAsia="Times New Roman" w:hAnsi="Times New Roman"/>
                <w:sz w:val="13"/>
                <w:szCs w:val="13"/>
                <w:b w:val="1"/>
                <w:bCs w:val="1"/>
                <w:color w:val="auto"/>
              </w:rPr>
              <w:t>DSC</w:t>
            </w:r>
          </w:p>
        </w:tc>
        <w:tc>
          <w:tcPr>
            <w:tcW w:w="260" w:type="dxa"/>
            <w:vAlign w:val="bottom"/>
          </w:tcPr>
          <w:p>
            <w:pPr>
              <w:spacing w:after="0"/>
              <w:rPr>
                <w:sz w:val="10"/>
                <w:szCs w:val="10"/>
                <w:color w:val="auto"/>
              </w:rPr>
            </w:pPr>
          </w:p>
        </w:tc>
        <w:tc>
          <w:tcPr>
            <w:tcW w:w="980" w:type="dxa"/>
            <w:vAlign w:val="bottom"/>
            <w:gridSpan w:val="3"/>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WFOEs</w:t>
            </w:r>
          </w:p>
        </w:tc>
        <w:tc>
          <w:tcPr>
            <w:tcW w:w="9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10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6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180" w:type="dxa"/>
            <w:vAlign w:val="bottom"/>
            <w:tcBorders>
              <w:left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Holdings Ltd.</w:t>
            </w:r>
          </w:p>
        </w:tc>
        <w:tc>
          <w:tcPr>
            <w:tcW w:w="980" w:type="dxa"/>
            <w:vAlign w:val="bottom"/>
            <w:gridSpan w:val="3"/>
            <w:vMerge w:val="continue"/>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gridSpan w:val="2"/>
            <w:vMerge w:val="continue"/>
          </w:tcPr>
          <w:p>
            <w:pPr>
              <w:spacing w:after="0"/>
              <w:rPr>
                <w:sz w:val="15"/>
                <w:szCs w:val="15"/>
                <w:color w:val="auto"/>
              </w:rPr>
            </w:pPr>
          </w:p>
        </w:tc>
        <w:tc>
          <w:tcPr>
            <w:tcW w:w="10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Third-parties revenues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w w:val="98"/>
              </w:rPr>
              <w:t>5,997</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340,508</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564,956</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Intra-group revenues</w:t>
            </w:r>
            <w:r>
              <w:rPr>
                <w:rFonts w:ascii="Times New Roman" w:cs="Times New Roman" w:eastAsia="Times New Roman" w:hAnsi="Times New Roman"/>
                <w:sz w:val="25"/>
                <w:szCs w:val="25"/>
                <w:b w:val="1"/>
                <w:bCs w:val="1"/>
                <w:color w:val="auto"/>
                <w:vertAlign w:val="superscript"/>
              </w:rPr>
              <w:t>(2)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8"/>
                <w:szCs w:val="18"/>
                <w:color w:val="auto"/>
              </w:rPr>
            </w:pPr>
          </w:p>
        </w:tc>
        <w:tc>
          <w:tcPr>
            <w:tcW w:w="56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w w:val="98"/>
              </w:rPr>
              <w:t>2,636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44,613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13,434</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(60,683)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(87,182)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(628,843)</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60,683</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(952,268)</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tcBorders>
              <w:left w:val="single" w:sz="8" w:color="auto"/>
            </w:tcBorders>
          </w:tcPr>
          <w:p>
            <w:pPr>
              <w:spacing w:after="0"/>
              <w:rPr>
                <w:sz w:val="16"/>
                <w:szCs w:val="16"/>
                <w:color w:val="auto"/>
              </w:rPr>
            </w:pPr>
          </w:p>
        </w:tc>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 of loss from subsidiaries, the VIEs and their</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0" w:type="dxa"/>
            <w:vAlign w:val="bottom"/>
            <w:tcBorders>
              <w:left w:val="single" w:sz="8" w:color="auto"/>
            </w:tcBorders>
          </w:tcPr>
          <w:p>
            <w:pPr>
              <w:spacing w:after="0"/>
              <w:rPr>
                <w:sz w:val="20"/>
                <w:szCs w:val="20"/>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(382,183)</w:t>
            </w:r>
          </w:p>
        </w:tc>
        <w:tc>
          <w:tcPr>
            <w:tcW w:w="980" w:type="dxa"/>
            <w:vAlign w:val="bottom"/>
            <w:gridSpan w:val="3"/>
          </w:tcPr>
          <w:p>
            <w:pPr>
              <w:jc w:val="right"/>
              <w:ind w:right="9"/>
              <w:spacing w:after="0"/>
              <w:rPr>
                <w:sz w:val="20"/>
                <w:szCs w:val="20"/>
                <w:color w:val="auto"/>
              </w:rPr>
            </w:pPr>
            <w:r>
              <w:rPr>
                <w:rFonts w:ascii="Times New Roman" w:cs="Times New Roman" w:eastAsia="Times New Roman" w:hAnsi="Times New Roman"/>
                <w:sz w:val="18"/>
                <w:szCs w:val="18"/>
                <w:color w:val="auto"/>
              </w:rPr>
              <w:t>(255,312)</w:t>
            </w:r>
          </w:p>
        </w:tc>
        <w:tc>
          <w:tcPr>
            <w:tcW w:w="7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(326,780)</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964,275</w:t>
            </w:r>
          </w:p>
        </w:tc>
        <w:tc>
          <w:tcPr>
            <w:tcW w:w="1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(382,183)</w:t>
            </w:r>
          </w:p>
        </w:tc>
        <w:tc>
          <w:tcPr>
            <w:tcW w:w="98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(326,780)</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(607,423)</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964,275</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(390,851)</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80" w:type="dxa"/>
            <w:vAlign w:val="bottom"/>
            <w:tcBorders>
              <w:left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center"/>
              <w:ind w:right="821"/>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0" w:type="dxa"/>
            <w:vAlign w:val="bottom"/>
            <w:tcBorders>
              <w:left w:val="single" w:sz="8" w:color="auto"/>
            </w:tcBorders>
          </w:tcPr>
          <w:p>
            <w:pPr>
              <w:spacing w:after="0"/>
              <w:rPr>
                <w:sz w:val="10"/>
                <w:szCs w:val="10"/>
                <w:color w:val="auto"/>
              </w:rPr>
            </w:pPr>
          </w:p>
        </w:tc>
        <w:tc>
          <w:tcPr>
            <w:tcW w:w="4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gridSpan w:val="2"/>
          </w:tcPr>
          <w:p>
            <w:pPr>
              <w:jc w:val="center"/>
              <w:ind w:left="115"/>
              <w:spacing w:after="0" w:line="118" w:lineRule="exact"/>
              <w:rPr>
                <w:sz w:val="20"/>
                <w:szCs w:val="20"/>
                <w:color w:val="auto"/>
              </w:rPr>
            </w:pPr>
            <w:r>
              <w:rPr>
                <w:rFonts w:ascii="Times New Roman" w:cs="Times New Roman" w:eastAsia="Times New Roman" w:hAnsi="Times New Roman"/>
                <w:sz w:val="13"/>
                <w:szCs w:val="13"/>
                <w:b w:val="1"/>
                <w:bCs w:val="1"/>
                <w:color w:val="auto"/>
              </w:rPr>
              <w:t>DSC</w:t>
            </w:r>
          </w:p>
        </w:tc>
        <w:tc>
          <w:tcPr>
            <w:tcW w:w="260" w:type="dxa"/>
            <w:vAlign w:val="bottom"/>
          </w:tcPr>
          <w:p>
            <w:pPr>
              <w:spacing w:after="0"/>
              <w:rPr>
                <w:sz w:val="10"/>
                <w:szCs w:val="10"/>
                <w:color w:val="auto"/>
              </w:rPr>
            </w:pPr>
          </w:p>
        </w:tc>
        <w:tc>
          <w:tcPr>
            <w:tcW w:w="980" w:type="dxa"/>
            <w:vAlign w:val="bottom"/>
            <w:gridSpan w:val="3"/>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WFOEs</w:t>
            </w:r>
          </w:p>
        </w:tc>
        <w:tc>
          <w:tcPr>
            <w:tcW w:w="9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10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6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180" w:type="dxa"/>
            <w:vAlign w:val="bottom"/>
            <w:tcBorders>
              <w:left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Holdings Ltd.</w:t>
            </w:r>
          </w:p>
        </w:tc>
        <w:tc>
          <w:tcPr>
            <w:tcW w:w="980" w:type="dxa"/>
            <w:vAlign w:val="bottom"/>
            <w:gridSpan w:val="3"/>
            <w:vMerge w:val="continue"/>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gridSpan w:val="2"/>
            <w:vMerge w:val="continue"/>
          </w:tcPr>
          <w:p>
            <w:pPr>
              <w:spacing w:after="0"/>
              <w:rPr>
                <w:sz w:val="15"/>
                <w:szCs w:val="15"/>
                <w:color w:val="auto"/>
              </w:rPr>
            </w:pPr>
          </w:p>
        </w:tc>
        <w:tc>
          <w:tcPr>
            <w:tcW w:w="10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Third-parties revenues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629</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177,617</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387,485</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Intra-group revenues</w:t>
            </w:r>
            <w:r>
              <w:rPr>
                <w:rFonts w:ascii="Times New Roman" w:cs="Times New Roman" w:eastAsia="Times New Roman" w:hAnsi="Times New Roman"/>
                <w:sz w:val="25"/>
                <w:szCs w:val="25"/>
                <w:b w:val="1"/>
                <w:bCs w:val="1"/>
                <w:color w:val="auto"/>
                <w:vertAlign w:val="superscript"/>
              </w:rPr>
              <w:t>(2)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3"/>
          </w:tcPr>
          <w:p>
            <w:pPr>
              <w:jc w:val="right"/>
              <w:ind w:right="69"/>
              <w:spacing w:after="0"/>
              <w:rPr>
                <w:sz w:val="20"/>
                <w:szCs w:val="20"/>
                <w:color w:val="auto"/>
              </w:rPr>
            </w:pPr>
            <w:r>
              <w:rPr>
                <w:rFonts w:ascii="Times New Roman" w:cs="Times New Roman" w:eastAsia="Times New Roman" w:hAnsi="Times New Roman"/>
                <w:sz w:val="18"/>
                <w:szCs w:val="18"/>
                <w:color w:val="auto"/>
              </w:rPr>
              <w:t>33,888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29,499</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23,438</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(86,825)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(117,181)</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(396,432)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(417,526)</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86,825</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(844,314)</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tcBorders>
              <w:left w:val="single" w:sz="8" w:color="auto"/>
            </w:tcBorders>
          </w:tcPr>
          <w:p>
            <w:pPr>
              <w:spacing w:after="0"/>
              <w:rPr>
                <w:sz w:val="16"/>
                <w:szCs w:val="16"/>
                <w:color w:val="auto"/>
              </w:rPr>
            </w:pPr>
          </w:p>
        </w:tc>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 of loss from subsidiaries, the VIEs and their</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0" w:type="dxa"/>
            <w:vAlign w:val="bottom"/>
            <w:tcBorders>
              <w:left w:val="single" w:sz="8" w:color="auto"/>
            </w:tcBorders>
          </w:tcPr>
          <w:p>
            <w:pPr>
              <w:spacing w:after="0"/>
              <w:rPr>
                <w:sz w:val="20"/>
                <w:szCs w:val="20"/>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(443,710)</w:t>
            </w:r>
          </w:p>
        </w:tc>
        <w:tc>
          <w:tcPr>
            <w:tcW w:w="980" w:type="dxa"/>
            <w:vAlign w:val="bottom"/>
            <w:gridSpan w:val="3"/>
          </w:tcPr>
          <w:p>
            <w:pPr>
              <w:jc w:val="right"/>
              <w:ind w:right="9"/>
              <w:spacing w:after="0"/>
              <w:rPr>
                <w:sz w:val="20"/>
                <w:szCs w:val="20"/>
                <w:color w:val="auto"/>
              </w:rPr>
            </w:pPr>
            <w:r>
              <w:rPr>
                <w:rFonts w:ascii="Times New Roman" w:cs="Times New Roman" w:eastAsia="Times New Roman" w:hAnsi="Times New Roman"/>
                <w:sz w:val="18"/>
                <w:szCs w:val="18"/>
                <w:color w:val="auto"/>
              </w:rPr>
              <w:t>(93,800)</w:t>
            </w:r>
          </w:p>
        </w:tc>
        <w:tc>
          <w:tcPr>
            <w:tcW w:w="7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(176,443)</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713,953</w:t>
            </w:r>
          </w:p>
        </w:tc>
        <w:tc>
          <w:tcPr>
            <w:tcW w:w="1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(443,710)</w:t>
            </w:r>
          </w:p>
        </w:tc>
        <w:tc>
          <w:tcPr>
            <w:tcW w:w="98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(176,443)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(394,802)</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713,953</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(445,294)</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0" w:type="dxa"/>
            <w:vAlign w:val="bottom"/>
            <w:tcBorders>
              <w:left w:val="single" w:sz="8" w:color="auto"/>
              <w:bottom w:val="single" w:sz="8" w:color="auto"/>
            </w:tcBorders>
          </w:tcPr>
          <w:p>
            <w:pPr>
              <w:spacing w:after="0"/>
              <w:rPr>
                <w:sz w:val="13"/>
                <w:szCs w:val="13"/>
                <w:color w:val="auto"/>
              </w:rPr>
            </w:pPr>
          </w:p>
        </w:tc>
        <w:tc>
          <w:tcPr>
            <w:tcW w:w="4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9306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8970" cy="39306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of combined consolidating cash flow data</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0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000" w:type="dxa"/>
            <w:vAlign w:val="bottom"/>
          </w:tcPr>
          <w:p>
            <w:pPr>
              <w:jc w:val="right"/>
              <w:ind w:right="358"/>
              <w:spacing w:after="0" w:line="118" w:lineRule="exact"/>
              <w:rPr>
                <w:sz w:val="20"/>
                <w:szCs w:val="20"/>
                <w:color w:val="auto"/>
              </w:rPr>
            </w:pPr>
            <w:r>
              <w:rPr>
                <w:rFonts w:ascii="Times New Roman" w:cs="Times New Roman" w:eastAsia="Times New Roman" w:hAnsi="Times New Roman"/>
                <w:sz w:val="13"/>
                <w:szCs w:val="13"/>
                <w:b w:val="1"/>
                <w:bCs w:val="1"/>
                <w:color w:val="auto"/>
              </w:rPr>
              <w:t>DSC</w:t>
            </w: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WFOEs</w:t>
            </w:r>
          </w:p>
        </w:tc>
        <w:tc>
          <w:tcPr>
            <w:tcW w:w="1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114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9"/>
              </w:rPr>
              <w:t>Holdings Ltd.</w:t>
            </w:r>
          </w:p>
        </w:tc>
        <w:tc>
          <w:tcPr>
            <w:tcW w:w="840" w:type="dxa"/>
            <w:vAlign w:val="bottom"/>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2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cash (used in)/provided by operating activities</w:t>
            </w:r>
            <w:r>
              <w:rPr>
                <w:rFonts w:ascii="Times New Roman" w:cs="Times New Roman" w:eastAsia="Times New Roman" w:hAnsi="Times New Roman"/>
                <w:sz w:val="25"/>
                <w:szCs w:val="25"/>
                <w:color w:val="auto"/>
                <w:vertAlign w:val="superscript"/>
              </w:rPr>
              <w:t>(3)</w:t>
            </w:r>
          </w:p>
        </w:tc>
        <w:tc>
          <w:tcPr>
            <w:tcW w:w="10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(87,692)</w:t>
            </w:r>
          </w:p>
        </w:tc>
        <w:tc>
          <w:tcPr>
            <w:tcW w:w="13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(22,119)</w:t>
            </w:r>
          </w:p>
        </w:tc>
        <w:tc>
          <w:tcPr>
            <w:tcW w:w="11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(330,568)</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(440,379)</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cash (used in)/provided by investing activities</w:t>
            </w:r>
            <w:r>
              <w:rPr>
                <w:rFonts w:ascii="Times New Roman" w:cs="Times New Roman" w:eastAsia="Times New Roman" w:hAnsi="Times New Roman"/>
                <w:sz w:val="25"/>
                <w:szCs w:val="25"/>
                <w:color w:val="auto"/>
                <w:vertAlign w:val="superscript"/>
              </w:rPr>
              <w:t>(3)</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(432,275)</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777,203</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(340,193)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(16,345)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cash (used in)/provided by financing activities</w:t>
            </w:r>
            <w:r>
              <w:rPr>
                <w:rFonts w:ascii="Times New Roman" w:cs="Times New Roman" w:eastAsia="Times New Roman" w:hAnsi="Times New Roman"/>
                <w:sz w:val="25"/>
                <w:szCs w:val="25"/>
                <w:color w:val="auto"/>
                <w:vertAlign w:val="superscript"/>
              </w:rPr>
              <w:t>(3)</w:t>
            </w:r>
          </w:p>
        </w:tc>
        <w:tc>
          <w:tcPr>
            <w:tcW w:w="10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107,362</w:t>
            </w:r>
          </w:p>
        </w:tc>
        <w:tc>
          <w:tcPr>
            <w:tcW w:w="1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439,057</w:t>
            </w:r>
          </w:p>
        </w:tc>
        <w:tc>
          <w:tcPr>
            <w:tcW w:w="11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(377,819)</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340,193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4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000" w:type="dxa"/>
            <w:vAlign w:val="bottom"/>
          </w:tcPr>
          <w:p>
            <w:pPr>
              <w:jc w:val="right"/>
              <w:ind w:right="358"/>
              <w:spacing w:after="0" w:line="118" w:lineRule="exact"/>
              <w:rPr>
                <w:sz w:val="20"/>
                <w:szCs w:val="20"/>
                <w:color w:val="auto"/>
              </w:rPr>
            </w:pPr>
            <w:r>
              <w:rPr>
                <w:rFonts w:ascii="Times New Roman" w:cs="Times New Roman" w:eastAsia="Times New Roman" w:hAnsi="Times New Roman"/>
                <w:sz w:val="13"/>
                <w:szCs w:val="13"/>
                <w:b w:val="1"/>
                <w:bCs w:val="1"/>
                <w:color w:val="auto"/>
              </w:rPr>
              <w:t>DSC</w:t>
            </w: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WFOEs</w:t>
            </w:r>
          </w:p>
        </w:tc>
        <w:tc>
          <w:tcPr>
            <w:tcW w:w="1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114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9"/>
              </w:rPr>
              <w:t>Holdings Ltd.</w:t>
            </w:r>
          </w:p>
        </w:tc>
        <w:tc>
          <w:tcPr>
            <w:tcW w:w="840" w:type="dxa"/>
            <w:vAlign w:val="bottom"/>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2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cash (used in)/provided by operating activities</w:t>
            </w:r>
            <w:r>
              <w:rPr>
                <w:rFonts w:ascii="Times New Roman" w:cs="Times New Roman" w:eastAsia="Times New Roman" w:hAnsi="Times New Roman"/>
                <w:sz w:val="25"/>
                <w:szCs w:val="25"/>
                <w:color w:val="auto"/>
                <w:vertAlign w:val="superscript"/>
              </w:rPr>
              <w:t>(3)</w:t>
            </w:r>
          </w:p>
        </w:tc>
        <w:tc>
          <w:tcPr>
            <w:tcW w:w="10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(99,038)</w:t>
            </w:r>
          </w:p>
        </w:tc>
        <w:tc>
          <w:tcPr>
            <w:tcW w:w="13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(145,503)</w:t>
            </w:r>
          </w:p>
        </w:tc>
        <w:tc>
          <w:tcPr>
            <w:tcW w:w="11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(183,579)</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(428,120)</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cash (used in)/provided by investing activities</w:t>
            </w:r>
            <w:r>
              <w:rPr>
                <w:rFonts w:ascii="Times New Roman" w:cs="Times New Roman" w:eastAsia="Times New Roman" w:hAnsi="Times New Roman"/>
                <w:sz w:val="25"/>
                <w:szCs w:val="25"/>
                <w:color w:val="auto"/>
                <w:vertAlign w:val="superscript"/>
              </w:rPr>
              <w:t>(3)</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(36,006)</w:t>
            </w:r>
          </w:p>
        </w:tc>
        <w:tc>
          <w:tcPr>
            <w:tcW w:w="132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3,077</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152,563</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(134,655)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(15,021)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cash (used in)/provided by financing activities</w:t>
            </w:r>
            <w:r>
              <w:rPr>
                <w:rFonts w:ascii="Times New Roman" w:cs="Times New Roman" w:eastAsia="Times New Roman" w:hAnsi="Times New Roman"/>
                <w:sz w:val="25"/>
                <w:szCs w:val="25"/>
                <w:color w:val="auto"/>
                <w:vertAlign w:val="superscript"/>
              </w:rPr>
              <w:t>(3)</w:t>
            </w:r>
          </w:p>
        </w:tc>
        <w:tc>
          <w:tcPr>
            <w:tcW w:w="10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136,896</w:t>
            </w:r>
          </w:p>
        </w:tc>
        <w:tc>
          <w:tcPr>
            <w:tcW w:w="1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123,257</w:t>
            </w:r>
          </w:p>
        </w:tc>
        <w:tc>
          <w:tcPr>
            <w:tcW w:w="11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78,056</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134,655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1560" w:hanging="953"/>
        <w:spacing w:after="0" w:line="254" w:lineRule="auto"/>
        <w:rPr>
          <w:sz w:val="20"/>
          <w:szCs w:val="20"/>
          <w:color w:val="auto"/>
        </w:rPr>
      </w:pPr>
      <w:r>
        <w:rPr>
          <w:rFonts w:ascii="Times New Roman" w:cs="Times New Roman" w:eastAsia="Times New Roman" w:hAnsi="Times New Roman"/>
          <w:sz w:val="18"/>
          <w:szCs w:val="18"/>
          <w:color w:val="auto"/>
        </w:rPr>
        <w:t>Notes:  (1) Represents the elimination of intercompany balances among DSC Holdings Ltd., our WFOEs and other subsidiaries, and the VIEs and their subsidiaries. The balances of amounts due to our WFOEs by the VIEs and their subsidiaries as of December 31, 2021 and 2022 were RMB278,324 thousand and RMB278,322 thousand, respectively. The balances of amounts due to VIEs and their subsidiaries by the WFOEs as of December 31, 2021 and 2022 were RMB81,897 thousand and RMB170,658 thousand, respectively.</w:t>
      </w:r>
    </w:p>
    <w:p>
      <w:pPr>
        <w:spacing w:after="0" w:line="3" w:lineRule="exact"/>
        <w:rPr>
          <w:sz w:val="20"/>
          <w:szCs w:val="20"/>
          <w:color w:val="auto"/>
        </w:rPr>
      </w:pPr>
    </w:p>
    <w:p>
      <w:pPr>
        <w:jc w:val="both"/>
        <w:ind w:left="1560" w:hanging="310"/>
        <w:spacing w:after="0" w:line="250" w:lineRule="auto"/>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the intercompany services at the consolidation level. For the years ended December 31, 2021 and 2022, the total amounts of the service fees charged to the VIEs by our WFOEs under the relevant agreements were RMB28,448 thousand and RMB2,636 thousand (US$364 thousand), respectively.</w:t>
      </w:r>
    </w:p>
    <w:p>
      <w:pPr>
        <w:spacing w:after="0" w:line="1" w:lineRule="exact"/>
        <w:rPr>
          <w:rFonts w:ascii="Times New Roman" w:cs="Times New Roman" w:eastAsia="Times New Roman" w:hAnsi="Times New Roman"/>
          <w:sz w:val="18"/>
          <w:szCs w:val="18"/>
          <w:color w:val="auto"/>
        </w:rPr>
      </w:pPr>
    </w:p>
    <w:p>
      <w:pPr>
        <w:jc w:val="both"/>
        <w:ind w:left="1560" w:hanging="310"/>
        <w:spacing w:after="0" w:line="255" w:lineRule="auto"/>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2021 and 2022, the VIEs paid to the WFOEs under the relevant agreements for the administrative and delivery services and loans of RMB62,488 thousand and RMB37,101 thousand (US$5,116 thousand), respectively.</w:t>
      </w: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320" w:top="455"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You are not purchasing equity securities of our subsidiaries that have substantive business operations in China but instead are purchasing equity securities of a Cayman Islands holding company. DSC Holdings Ltd. is a Cayman Islands holding company that conducts all of its business operations in China through its PRC subsidiaries and the VIEs. Such structure involves unique risks to investors in the ADSs. You should carefully consider the risks and uncertainties described below and the other information in this prospectus before making an investment in the ADSs. Our business, financial condition or results of operations could be materially and adversely affected if any of these risks occurs, and as a result, the market price of the ADSs could decline and you could lose all or part of your investment. In particular, as we are a China-based company incorporated in the Cayman Islands, you should pay special attention to the subsection headed “Risks Related to Doing Business in China” below.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the risks and uncertainties described below and elsewhere in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provide a differentiated and superior customer experience and satisfactory services, the size of our customer base and the demand for our services could decline, and our business would be materially and adversely affected.</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Providing a differentiated and superior customer experience and satisfactory services for our customers, including both car dealers and OEMs, are critical to our business. Our ability to provide a high-quality customer experience depends on a number of factors, including:</w:t>
      </w:r>
    </w:p>
    <w:p>
      <w:pPr>
        <w:spacing w:after="0" w:line="6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customers with high-quality services;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existing services and upgrade our services;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diverse needs of our customers with ongoing innovation and new services;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improve operating efficiency, customer experience of online transactions and service quality of our offline networks and personnel;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and data to improve our services;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effective sales and marketing activities to attract and retain our customers and maintain our reputation as a trusted brand;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train and manage our employees;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ensure the quality of services provided by our third-party service providers.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cannot guarantee that we can continuously provide a differentiated and superior experience to our customers as our business continues to evolve. Our failure to do so would materially and adversely affect our business, financial condition and results of operations.</w:t>
      </w:r>
    </w:p>
    <w:p>
      <w:pPr>
        <w:spacing w:after="0" w:line="266" w:lineRule="exact"/>
        <w:rPr>
          <w:sz w:val="20"/>
          <w:szCs w:val="20"/>
          <w:color w:val="auto"/>
        </w:rPr>
      </w:pPr>
    </w:p>
    <w:p>
      <w:pPr>
        <w:ind w:left="5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continuously develop new services to meet the evolving needs of customers, or achieve widespread customer adoption of those services, could negatively impact our business and financial results.</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success depends on our continued innovation to provide services that are useful for customers or that otherwise provide value to customers. Any failure by us to capture the benefits that we expect from our rollout of new services could have an adverse effect on our business and financial results.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to introducing new offerings within our existing services, we anticipate that over time we may reach a point when investments in our current services are less productive and the growth of our revenue will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require more focus on developing new services for our customers. These new services, in the aggregate, may need to be widely adopted by our customers in order for us to continue to attract additional customers to our services or we may lose competitive edge in the markets we compete in. Without innovative services, we may be unable to attract additional customers or retain current customers, which could negatively affect our business and financial results. Accordingly, we must continually invest resources in service, technology, and development in order to improve the attractiveness and comprehensiveness of our services and effectively incorporate new internet and mobile technologies into them. These expenses for the development of our services and technology may include costs of hiring additional personnel, engaging third-party service providers and conducting other research and development activities, and our ability to engage in such development may decline as a result of, among others, continued uncertainties around the global macroeconomic conditions and any cost-savings initiatives for our business. Moreover, there can be no assurance that innovations to our services, or the development of future services, will enhance customer engagement, achieve market acceptance, create additional revenue or become profitable. In addition, revenue relating to new services is typically unpredictable and our new services may have lower gross margins, lower retention rates, and higher marketing and selling costs than our existing services. We are likely to continue to modify our pricing models for both existing and new services so that the prices for our offerings reflect the value that those offerings provide to our customers. Our pricing models may not effectively reflect the value of our services, and, if we are unable to provide services that customers want to use, they may reduce or cease the use of our services.</w:t>
      </w:r>
    </w:p>
    <w:p>
      <w:pPr>
        <w:spacing w:after="0" w:line="291" w:lineRule="exact"/>
        <w:rPr>
          <w:sz w:val="20"/>
          <w:szCs w:val="20"/>
          <w:color w:val="auto"/>
        </w:rPr>
      </w:pPr>
    </w:p>
    <w:p>
      <w:pPr>
        <w:jc w:val="both"/>
        <w:ind w:left="56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substantially depends on our relationship with our customers, primarily used car dealers and OEMs and their usage of our services. If a significant number of our customers cease to use or do not keep or increase the usage of our services or if we are unable to develop relationship with new customers, our business and financial results would be materially and adversely affected.</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ability to expand and generate revenue depends, in part, on our ability to maintain and expand our relationships with customers and convince them to increase their use of our services, including both digitalization solutions and transaction services. Our customers’ usage of our services is also affected by their budgets and spending patterns, which, in turn may be affected by macro-economic or other factors beyond of our control. If our customers do not increase their use of our services, our revenue may not grow and our results of operations may be harmed. We may also be required to spend significantly more on sales and marketing than we currently plan to spend in order to maintain or increase revenue. These additional expenditures could adversely affect our business, results of operations, and financial condition. Our customers may cease, or reduce their usage of our services due to a variety of reasons or factors, such as constrained budgets for spending on digitalization solutions and transaction services during economic downturns, dissatisfaction arising from perceived shortcomings in the quality of our offerings, rapid technological advancements rendering our services obsolete, allegations and rumors relating to our services, and other circumstances that are outside our or our customers’ control. More specifically, the subscription fees paid to us by used car dealers and new car brokers for access to our digitalization solutions are an increasingly important part of our revenue, and the majority of our contracts with these customers currently provide for one-year committed terms, with no contractual obligations requiring them to maintain its relationship with us beyond the committed term. Accordingly, these used car dealers and new car brokers may cancel their subscriptions with us in accordance with the terms of their subscription and may choose not to renew their subscriptions upon expiration. In such events, our business and financial results may be materially and adversely affected.</w:t>
      </w:r>
    </w:p>
    <w:p>
      <w:pPr>
        <w:spacing w:after="0" w:line="3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past performance is not indicative of our future growth, and our revenue growth in the future is uncertain.</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revenue increased from RMB387.5 million for the year ended December 31, 2021 to RMB565.0 million (US$77.9 million) for the year ended December 31, 2022, representing a 45.8% increase between such periods. Our total revenues were RMB208.7 million and RMB353.6 million (US$48.8 million) for the six months ended June 30, 2022 and 2023, respectively, representing a period-to-period growth of 69.4%. Our revenue for the second half of 2023 and beyond may not grow at such a rate and could potentially be impacted by external factors outside our control. In addition, we will not be able to grow as expected, or at all, if we fail to increase the number of customers using our services, maintain and expand the number of dealers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OEMs that subscribe to our services and maintain and increase the fees that they are paying, further improve the quality of our services and introduce high quality new services, and provide more value-added services to our customers. If our revenue declines or fails to grow, investors’ perceptions of our business may be adversely affected, and our financial position may deteriorate.</w:t>
      </w:r>
    </w:p>
    <w:p>
      <w:pPr>
        <w:spacing w:after="0" w:line="176"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Prior to the Restructuring, Souche Holdings Ltd was the sole entity for equity financing and the cash proceeds from such equity financings were allocated on an as-needed basis between the businesses we currently operate and the other subsidiaries of Souche Holdings Ltd. The cash allocated to us have been recorded as inter-company loans, as opposed to capital contribution, from Souche Holdings Ltd. Certain of these loans were subsequently waived in connection with the Restructuring. As a result, our historical financial information may not be indicative of our future results of operations, financial position, shareholders’ deficit and cash flows, had we operated as a standalone entity and contracted at arm’s length with unrelated third parties for funding. For more details about the Restructuring, see “Corporate History and Structure.” For more information about our transactions with Souche Holdings Ltd, see “Management’s Discussion and Analysis of Financial Condition and Results of Operations—Liquidity and Capital Resources,” “Related Party Transactions” and Note 1 to our combined and consolidated financial statements included elsewhere in this prospectus.</w:t>
      </w:r>
    </w:p>
    <w:p>
      <w:pPr>
        <w:spacing w:after="0" w:line="296" w:lineRule="exact"/>
        <w:rPr>
          <w:sz w:val="20"/>
          <w:szCs w:val="20"/>
          <w:color w:val="auto"/>
        </w:rPr>
      </w:pPr>
    </w:p>
    <w:p>
      <w:pPr>
        <w:ind w:left="5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have negative cash flows from operations, and we may not be able to achieve or sustain profitability in the future.</w:t>
      </w:r>
    </w:p>
    <w:p>
      <w:pPr>
        <w:spacing w:after="0" w:line="5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a history of losses. We incurred losses from operations of RMB456.8 million, RMB387.3 million (US$53.4 million), RMB261.7 million and RMB112.8 million (US$15.6 million) in 2021 and 2022 and for the six months ended June 30, 2022 and 2023, respectively. In addition, we had negative cash flow from operating activities of RMB428.1 million and RMB440.4 million (US$60.7 million), RMB195.3 million and RMB92.9 million (US$12.8 million) in 2021, 2022 and for the six months ended June 30, 2022 and 2023, respectively.</w:t>
      </w:r>
    </w:p>
    <w:p>
      <w:pPr>
        <w:spacing w:after="0" w:line="180"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ability to achieve profitability is heavily dependent on our ability to successfully execute our business plans in order to decrease operating cash outflows, including increasing sales of our services and continuing to control and optimize operating costs and expenses. To execute these business plans, we will continue to gain reputation among customers and brand recognition through offering high-quality services, which may also boost our market share in the respective markets. Meanwhile, we will continue to optimize our cost and expense structure to improve the capital and operating efficiency of our business. However, we may need to continue to invest heavily in various aspects of our operations, such as labor, infrastructure, research and development, and sales and marketing, to facilitate our expansion in the future. These investments may not lead to revenue increase or generate positive cash flows in time, or at all.</w:t>
      </w:r>
    </w:p>
    <w:p>
      <w:pPr>
        <w:spacing w:after="0" w:line="18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continue to incur significant losses in the future for a number of reasons, including reduced demand for our services, increasing competition, sluggishness in the automobile industry generally and of the business of our customers in particular and other risks described in this prospectus, and we may encounter unforeseen expenses, difficulties, complications and delays, and other unknown factors. If we continue to incur losses in the future, we may not be able to reduce costs effectively because many of our costs are fixed. In addition, if we reduce variable costs to respond to losses, this may affect our ability to acquire customers, improve our services and grow our revenues. Accordingly, we may not be able to achieve or maintain profitability and we may continue to incur significant losses in the future, and this could seriously harm our business and cause the price of our common stock to decline.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related to China’s auto commerce industry, including industry-wide and macro-economic risks.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provide car dealers and OEMs in China with a comprehensive range of digitalization solutions and transaction services. We cannot assure you that this market will continue to grow rapidly in the future. Furthermore, the growth of China’s new car and used car industry could be affected by many factors, including:</w:t>
      </w:r>
    </w:p>
    <w:p>
      <w:pPr>
        <w:spacing w:after="0" w:line="81"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China and around the world;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issues around the world, such as global semiconductor chip shortage; the growth of disposable household income and the availability and cost of credit available to finance used car purchases;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evolution of and challenges in China’s automobile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China’s auto financing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used cars and willingness to purchase used cars;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people’s general preference for passenger vehicles as the means of transportation;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financing car purchases;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other incentives or disincentives related to used car purchases and ownership;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concerns and measures taken to address these concerns;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energy, including gasoline prices, and the cost of car license plates in various cities with license plate lottery or auction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improvement of highway system and availability of parking facilities;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government policies relating to used cars and auto financing in China;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sales and price of new and used cars;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or any other serious contagious diseases;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ride sharing, transportation networks, and other fundamental changes in transportation pattern;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industry-wide issues, including supply and demand for used cars, age distribution of cars, seasonality of used car retail market and supply chain challenges.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adverse change to these factors could reduce demand for used cars and hence demand for our services, and our business, financial condition and results of operations could be materially and adversely affected.</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Purchases of used vehicles are typically discretionary for consumers and have been, and may continue to be, affected by negative trends in the economy and other factors, including the availability of new vehicles, the difference between wholesale and retail prices, rising interest rates, the cost of energy and gasoline, changes in consumer behavior, the availability and cost of consumer credit, and the reduction in consumer confidence. Fears of recession, stock market volatility, inflationary pressures, inflation and regulations as a result of the COVID-19 pandemic may lead to a decrease in consumer demand for used vehicles. These factors may have a negative impact on our customers’ ability and willingness to purchase our services which could, in turn, have an adverse effect on our business, financial condition and results of operations.</w:t>
      </w:r>
    </w:p>
    <w:p>
      <w:pPr>
        <w:spacing w:after="0" w:line="291" w:lineRule="exact"/>
        <w:rPr>
          <w:sz w:val="20"/>
          <w:szCs w:val="20"/>
          <w:color w:val="auto"/>
        </w:rPr>
      </w:pPr>
    </w:p>
    <w:p>
      <w:pPr>
        <w:ind w:left="5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business and economic condition, including a severe and prolonged global economic recession and the slowdown in the Chinese economy, may adversely affect our business and results of operations.</w:t>
      </w:r>
    </w:p>
    <w:p>
      <w:pPr>
        <w:spacing w:after="0" w:line="5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market for automotive industry in China is affected by general business and economic conditions, especially as a result of the general uncertainties around the global macroeconomic conditions, the continued impact of the COVID-19 pandemic and inflationary pressures, among other factors. Volatility caused by such events has resulted in, or may result in, customers’ reduced demand for our services, reduced spending on vehicles, inability of customers to obtain credit to finance purchases of vehicles, and decreased confidence to make discretionary purchases. In addition, global inflation has increased during 2022 and disruptions induced by the COVID-19 and associated disruptions in global demand, supply, geopolitical events, logistics and labor markets may also adversely affect the market for automotive.</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global macroeconomic environment was facing numerous challenges. The growth rate of the Chinese economy had already been slowing since 2012 compared to the previous decade. According to the National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Bureau of Statistics of China, China’s GDP growth was slowing down in recent years. There is uncertainty over the long-term effects of the expansionary monetary and fiscal policies which had been adopted by the central banks and financial authorities of some of the world’s leading economies, including China and the United States, even before 2020. Unrest, terrorist threats and the potential of war in the Middle East and elsewhere may increase market volatility across the globe. In particular, there is uncertainty about the future relationship between China and the United States with respect to trade policies, treaties, government regulations and tariffs. It is unclear whether these challenges and uncertainties will be contained or resolved and what effects they may have on the global political and economic conditions in the long term.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financial condition and results of operations.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results of operations.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believe that our future success depends on our ability to achieve sustainable and profitable growth. We have recently completed a business restructuring and have a limited history operating as an integrated business focusing on digitalization solutions and transaction services. For more information about the restructuring, see “Corporate History and Structure.” Our limited operating history and significant growth make it difficult to evaluate our future prospects and results of operations. In addition, fluctuations in results could make period-to-period comparisons difficult. You should consider our future prospects in light of the risks and challenges encountered by a company with a limited operating history. These risks and challenges include, among others:</w:t>
      </w:r>
    </w:p>
    <w:p>
      <w:pPr>
        <w:spacing w:after="0" w:line="93"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our ability to continue our growth and maintain profitability;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our competitive position in the markets in which we operate;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consistent and high-quality services to retain and attract customers;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our strategies and modifying them from time to time to respond effectively to competition and changes in customer preferences;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awareness of our brand and continuing to build customer loyalty;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training and retaining qualified managerial and other personnel.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are unsuccessful in addressing any of these risks or challenges, our business may be materially and adversely affected.</w:t>
      </w:r>
    </w:p>
    <w:p>
      <w:pPr>
        <w:spacing w:after="0" w:line="329"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monetization strategies, including up- and cross-selling initiatives, will be successfully implemented or generate sustainable revenues and profits.</w:t>
      </w:r>
    </w:p>
    <w:p>
      <w:pPr>
        <w:spacing w:after="0" w:line="51"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We are at the early stage of monetizing our multiple services, and our monetization model is evolving. We believe we are in the early stage of monetizing our services, and our monetization strategies primarily include, among others, (i) enhancing the premium features and functions of our digitalization solutions to drive paying dealer conversion, (ii) leveraging our digitalization solutions to up- and cross-sell our transaction services, and</w:t>
      </w:r>
    </w:p>
    <w:p>
      <w:pPr>
        <w:spacing w:after="0" w:line="1" w:lineRule="exact"/>
        <w:rPr>
          <w:sz w:val="20"/>
          <w:szCs w:val="20"/>
          <w:color w:val="auto"/>
        </w:rPr>
      </w:pPr>
    </w:p>
    <w:p>
      <w:pPr>
        <w:jc w:val="both"/>
        <w:ind w:left="120" w:hanging="4"/>
        <w:spacing w:after="0" w:line="253" w:lineRule="auto"/>
        <w:tabs>
          <w:tab w:leader="none" w:pos="4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introducing our wide range of transaction services to our existing customers. However, our new monetization initiatives are uncertain and may not achieve the anticipated effect. For instance, with respect to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we currently used a freemium model to acquire dealer participation and generate revenues by selling dealers annual subscription packages that allow them to access additional functionalities and privileges. Nonetheless, we cannot guarantee that we can successfully convert non-paying dealers into paying customers or we will be able to successfully up and cross-sell our services to customers.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we can successfully implement the existing business model to generate sustainable revenues, especially with respect to our attempts in broadening monetization model with limited track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records, or that we will be able to develop new monetization strategies to grow our revenues. If we fail to maintain the implementation of our existing business model or develop new monetization approaches, we may not be able to maintain or increase our revenues or effectively manage any associated costs.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introduce new services for which we have little or no prior development or operating experience. If these new services fail to meet customers expectations or achieve expected adoption among customers, we may fail to diversify our revenue streams or generate sufficient revenues to justify our investments and costs, and our business and operating results may suffer as a result.</w:t>
      </w:r>
    </w:p>
    <w:p>
      <w:pPr>
        <w:spacing w:after="0" w:line="280" w:lineRule="exact"/>
        <w:rPr>
          <w:sz w:val="20"/>
          <w:szCs w:val="20"/>
          <w:color w:val="auto"/>
        </w:rPr>
      </w:pPr>
    </w:p>
    <w:p>
      <w:pPr>
        <w:ind w:left="5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face increasing competition or be unable to continue to compete effectively in our industry, which may lead to loss of market share, reduced revenue, increased expenses, departures of qualified employees and disputes with competitors. Furthermore, our current and potential competitors may have significantly greater resources than we do and may also develop and market new services that may adversely affect our business and operating results.</w:t>
      </w:r>
    </w:p>
    <w:p>
      <w:pPr>
        <w:spacing w:after="0" w:line="7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face intense competition in the industry we operate. Our competitors primarily include other providers of transaction services for car dealers and OEMs, most of whom operate on small scales in local markets. Due to their limited operating scale, these competitors may be able to adapt to industry developments and regulatory changes more quickly and efficiently than we do and may offer comparable services at more competitive prices. Our current and future competitors may also have significantly more resources than we do, including financial, technological, marketing and other resources and may be able to devote greater resources to the development and promotion of their platforms and services. They may have deeper relationships with dealerships, OEMs, financial institutions providing auto financing services and other third-party service providers than we do. This could allow them to develop new services, adapt more quickly to changes in technology and undertake more extensive marketing campaigns, which may render our services less attractive to customers and businesses and cause us to lose market share. Moreover, intense competition in the markets we operate in may reduce our gross margin, lower our service fees, increase our operating expenses and capital expenditures, and lead to departures of our qualified employees. Failure to compete with current and potential competitors could materially harm our business, financial condition and results of operations. Furthermore, we may also be harmed by negative publicity instigated by our competitors, regardless of its validity. We encountered and may in the future continue to encounter various disputes with our competitors, including lawsuits involving claims asserted under intellectual property infringement, unfair competition and defamation, which may adversely affect our business and reputation and may divert our management team’s attention from implementing our business strategies and adversely affect our business operation and financial condition.</w:t>
      </w:r>
    </w:p>
    <w:p>
      <w:pPr>
        <w:spacing w:after="0" w:line="19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compete with our competitors, the demand for our services could substantially decline. In addition, if one or more of our competitors were to merge or partner with another one of our competitors, the change in the competitive landscape could adversely affect our ability to compete effectively. Our competitors may also establish or strengthen cooperative relationships with our current or future suppliers, or other parties with whom we have collaborations, thereby limiting our ability to develop, improve and grow our business. We may not be able to compete successfully against current or future competitors, and competitive pressures may harm our revenue, business and financial results.</w:t>
      </w:r>
    </w:p>
    <w:p>
      <w:pPr>
        <w:spacing w:after="0" w:line="287" w:lineRule="exact"/>
        <w:rPr>
          <w:sz w:val="20"/>
          <w:szCs w:val="20"/>
          <w:color w:val="auto"/>
        </w:rPr>
      </w:pPr>
    </w:p>
    <w:p>
      <w:pPr>
        <w:ind w:left="56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growth or implement our business strategies, our business, financial condition and results of operations may be materially and adversely affected.</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business and prospects depend in part on our ability to effectively manage our growth or implement our growth strategies. As part of our business strategies, we intend to continue to enhance our leadership in digitalizing auto commerce in China, increase the penetration of our transaction services, promote AI-enabled application to empower auto merchants, and expand globally leveraging our digitalization capabilities and industry know-how. Our experience in the markets in which we currently operate may not be applicable to the new markets we intend to expand into, and we may therefore not be able to leverage our existing experience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grow further. As a result, our expansion, business and monetization strategies may not be successful. Furthermore, expanding into new geographical markets will require us to hire additional employees to cover these markets. To sustain our growth, we will incur additional compensation and payroll costs, office rental expenses and other costs, as well as experience additional strain on our managerial resources. If we are unable to successfully implement our business strategies to manage our growth and generate sufficient revenues to cover our increased costs and expenses, our business, financial condition and results of operations may be materially and adversely affected.</w:t>
      </w:r>
    </w:p>
    <w:p>
      <w:pPr>
        <w:spacing w:after="0" w:line="183"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Furthermore, our expansion into new service categories may expose us to new challenges and more risks. Although we have been successful in expanding into new service categories and businesses, we cannot assure you that we will be able to continue our success in expansion into new service categories. Our lack of experience with these new service categories may adversely affect our prospects and our ability to compete with the existing market players in any of these service categories. Moreover, the expansion into new businesses may disrupt our ongoing business, distract our management and employees and increase our expenses to cover unforeseen or hidden liabilities or costs. We may also face challenges in achieving the expected benefits of synergies and growth opportunities in connection with these new service categories and businesses. Besides, we may be subject to additional compliance requirements for these new service categories and businesses. Failure to expand successfully may also diminish investor confidence in our decision-making and execution capabilities, which could materially and adversely affect our business, results of operations, financial condition and prospects.</w:t>
      </w:r>
    </w:p>
    <w:p>
      <w:pPr>
        <w:spacing w:after="0" w:line="18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Moreover, our business upgrade and expansion may lead to new challenges and risks. As a result, we need to continuously expand and enhance our infrastructure and technology, and improve our operational and financial systems, procedures and internal controls. We also need to train, manage and motivate our employees. In addition, we need to maintain and strengthen our relationships with our suppliers, customers, third-party service providers and other third parties. We cannot assure you that our personnel, infrastructure, systems, procedures and internal controls will be adequate to support our operations. Effectively managing our growth is dependent on a number of other factors, including our ability to:</w:t>
      </w:r>
    </w:p>
    <w:p>
      <w:pPr>
        <w:spacing w:after="0" w:line="89"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our customers locate high-quality used vehicles;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existing services and customer’s satisfaction;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new services and develop cross-selling opportunities;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stabilize our costs and expenses and enhance our efficiency;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skilled and experienced employees;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relationships with our existing business partners and establish collaborations with new business partners;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risk management and internal control;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expand into new geographic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relationships with third-party service providers in new geographical areas into which we plan to expand;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our technology and continue to innovate new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synergies among our services.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fail to effectively manage our growth or implement our business strategies, our business, financial condition and results of operations may be materially and adversely affected.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Failure to achieve the anticipated synergies among our diverse portfolio of services could materially and adversely affect our business.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Over the years, we have continued to invest in promoting synergies among our services, with a view to not only achieving greater economies of scale but also creating compelling long-term values to our customers. We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 xml:space="preserve">have already constructed a solid bedrock of digitalization solutions that can address our customers’ daily operation need. Building on our comprehensive digitalization solutions, we have introduced various transaction services to our customers and integrated such transactions into our digitalization solutions. For example, we are in the process of further integrating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to allow dealers to list their inventories and complete vehicle sales more easily. Furthermore, we expect the synergies between our complementary transaction services to enable us to up- and cross-sell our different transaction services to the same customer to assist them with vehicle transactions. Failure to achieve the anticipated synergies from the integration of our services would materially affect our business, financial condition and results of operations.</w:t>
      </w:r>
    </w:p>
    <w:p>
      <w:pPr>
        <w:spacing w:after="0" w:line="291" w:lineRule="exact"/>
        <w:rPr>
          <w:sz w:val="20"/>
          <w:szCs w:val="20"/>
          <w:color w:val="auto"/>
        </w:rPr>
      </w:pPr>
    </w:p>
    <w:p>
      <w:pPr>
        <w:jc w:val="both"/>
        <w:ind w:left="56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and is subject to various evolving laws and regulations regarding cybersecurity and data privacy. Failure to address cybersecurity and data privacy concerns could subject us to significant reputational, financial, legal and operational consequences, and deter current and potential customers from using our services.</w:t>
      </w:r>
    </w:p>
    <w:p>
      <w:pPr>
        <w:spacing w:after="0" w:line="6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business generates and processes a large quantity of data. We face risks inherent in handling and protecting a large amount of data that our business generates and processes from the significant number of vehicle transactions our platform facilitates. In particular, we face a number of challenges relating to data from transactions and other activities on our platform, including:</w:t>
      </w:r>
    </w:p>
    <w:p>
      <w:pPr>
        <w:spacing w:after="0" w:line="81" w:lineRule="exact"/>
        <w:rPr>
          <w:sz w:val="20"/>
          <w:szCs w:val="20"/>
          <w:color w:val="auto"/>
        </w:rPr>
      </w:pPr>
    </w:p>
    <w:p>
      <w:pPr>
        <w:ind w:left="1080" w:right="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outside parties or fraudulent behavior or improper use by our employees or business partners;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sharing, safety, security and other privacy factors;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disclosure and security of personal information, including any requests from regulatory and government authorities relating to these data.</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general, we expect that data security and data protection compliance will receive greater attention and focus from regulators as well as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spacing w:after="0" w:line="180"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subject to various cybersecurity, data security and personal information protection laws and regulations in China, including without limitation, the PRC Civil Code, the Cybersecurity Law, the Data Security Law, the Personal Information Protection Law. See “Regulation—Regulations on Information Security and Privacy Protection.” Moreover, different regulatory bodies in China, including the Ministry of Industry and Information Technology (the “MIIT”), the CAC, the Ministry of Public Security and the State Administration for Market Regulation (the “SAMR”), have enforced cybersecurity, data privacy and protections laws and regulations with various standards and applications. The changes and developments in enforcement of data privacy and protection laws have resulted in challenges in ensuring full compliance and increase our operating cost, as we need to spend time and resources to deal with various inspections for compliance. While we have adopted rigorous and comprehensive policies for the collection, processing, sharing, disclosure authorization and other aspects of data use and privacy and taken necessary measures to comply with applicable data privacy and protection laws and regulations, we cannot guarantee the effectiveness of these policies and measures undertaken by us, or by dealers or other business partners on our platform. Any failure or perceived failure to comply with all applicable data privacy and protection laws and regulations, or any failure or perceived failure of our business partners to do so, or any failure or perceived failure of our employees to comply with our internal control measures, may result in negative publicity and legal proceedings or regulatory actions against us, and could result in fines, revocation of licenses, suspension of relevant operations or other legal or administrative penalties, which may in turn damage our reputation, discourage current and potential customers and subject us to fines and</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damages, which could have a material adverse effect on our business, financial condition and results of operations.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Furthermore, the PRC regulatory and enforcement regime with regard to cybersecurity and data protection is still evolving. PRC regulators have been increasingly focused on regulation in the areas of cybersecurity and data protection. The following are examples of recent PRC regulatory activities in this area.</w:t>
      </w:r>
    </w:p>
    <w:p>
      <w:pPr>
        <w:spacing w:after="0" w:line="81" w:lineRule="exact"/>
        <w:rPr>
          <w:sz w:val="20"/>
          <w:szCs w:val="20"/>
          <w:color w:val="auto"/>
        </w:rPr>
      </w:pPr>
    </w:p>
    <w:p>
      <w:pPr>
        <w:jc w:val="both"/>
        <w:ind w:left="108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recent years, the PRC government has increasingly tightened the regulation of cybersecurity and the data security. The Cybersecurity Law of the PRC (the “Cybersecurity Law”) promulgated by the Standing Committee of the National People’s Congress (the “SCNPC”), has come into force on June 1, 2017. In addition, the Data Security Law of PRC (the “Data Security Law”) was promulgated by the SCNPC on June 10, 2021 and took effect on September 1, 2021.</w:t>
      </w:r>
    </w:p>
    <w:p>
      <w:pPr>
        <w:spacing w:after="0" w:line="85" w:lineRule="exact"/>
        <w:rPr>
          <w:rFonts w:ascii="Times New Roman" w:cs="Times New Roman" w:eastAsia="Times New Roman" w:hAnsi="Times New Roman"/>
          <w:sz w:val="18"/>
          <w:szCs w:val="18"/>
          <w:color w:val="auto"/>
        </w:rPr>
      </w:pPr>
    </w:p>
    <w:p>
      <w:pPr>
        <w:jc w:val="both"/>
        <w:ind w:left="1080" w:hanging="532"/>
        <w:spacing w:after="0" w:line="253"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Information Protection Law (the “Personal Information Protection Law”) was released on August 20, 2021 and became effective on November 1, 2021. On July 7, 2022, the CAC released the Measures for Security Assessment of Cross-border Transfer of Data, which took effect on September 1, 2022 and is applicable to cross-border transfers of personal information and important data collected and generated in China under certain circumstances. On February 22, 2023, the CAC further released the Measures for the Standard Contract for Cross-border Transfer of Personal Information, which became effective on June 1, 2023. While we do not believe our current business operation involves any transmission, use and exchange of information that comes under the definition of “cross-border transfers of personal information and important data” under the foregoing laws and regulations, as our business continues to grow, there may arise circumstances where we engage in such cross-border transfers of personal information and important data, including in order to satisfy the legal and regulatory requirements, in which case we may need to comply with the foregoing requirements as well as any other limitations under PRC laws then applicable. Complying with these laws and requirements could cause us to incur substantial expenses or require us to alter or change our practices in ways that could harm our business. Additionally, to the extent we are found to be not in compliance with these laws and requirements, we may be subject to fines, regulatory orders to suspend our operations or other regulatory and disciplinary sanctions, which could materially and adversely affect our business, financial condition and results of operations.</w:t>
      </w:r>
    </w:p>
    <w:p>
      <w:pPr>
        <w:spacing w:after="0" w:line="92" w:lineRule="exact"/>
        <w:rPr>
          <w:rFonts w:ascii="Times New Roman" w:cs="Times New Roman" w:eastAsia="Times New Roman" w:hAnsi="Times New Roman"/>
          <w:sz w:val="18"/>
          <w:szCs w:val="18"/>
          <w:color w:val="auto"/>
        </w:rPr>
      </w:pPr>
    </w:p>
    <w:p>
      <w:pPr>
        <w:jc w:val="both"/>
        <w:ind w:left="1080" w:right="20" w:hanging="532"/>
        <w:spacing w:after="0" w:line="253"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the State Council of the PRC promulgated the Provisions on Protection of Critical Information Infrastructure (the “CII Protection Regulations”), which became effective on September 1, 2021. Pursuant to the CII Protection Regulations, “critical information infrastructures,” or “CIIs,” refer to any important network facilities or information systems of the important industry or field such as public communication and information service, energy, communications, water conservation, finance, public services, e-government affairs and national defense science, which may endanger national security, people’s livelihood and public interest in case of damage, function loss or data leakage. In addition, relevant administration departments of each critical industry and sector shall be responsible for formulating eligibility criteria and identifying the CII operators, or CIIOs, in the respective industry or sector, and the CIIOs shall be responsible for protecting the CIIs’ security by performing certain prescribed obligations. As of the date of this prospectus, we have not been informed by CAC or any other PRC government authorities that we are identified or will be deemed as a CIIO. However, since the criteria for determining CIIOs remains subject to further clarification, we cannot assure you that we will not be identified as a CIIO by any competent regulatory authority in the future.</w:t>
      </w:r>
    </w:p>
    <w:p>
      <w:pPr>
        <w:spacing w:after="0" w:line="97" w:lineRule="exact"/>
        <w:rPr>
          <w:rFonts w:ascii="Times New Roman" w:cs="Times New Roman" w:eastAsia="Times New Roman" w:hAnsi="Times New Roman"/>
          <w:sz w:val="18"/>
          <w:szCs w:val="18"/>
          <w:color w:val="auto"/>
        </w:rPr>
      </w:pPr>
    </w:p>
    <w:p>
      <w:pPr>
        <w:jc w:val="both"/>
        <w:ind w:left="1080" w:hanging="532"/>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2021, the CAC and several other administrations jointly promulgated the Measures for Cybersecurity Review (the “Cybersecurity Review Measures”), which became effective on February 15, 2022. The Cybersecurity Review Measures provide that (i) a “network platform operator” holding over one million users’ personal information shall apply for a cybersecurity review when listing their securities “in a foreign country”, (ii) a CIIO that intends to purchase internet products and services that affect or may affect national security shall apply for a cybersecurity review, and (iii) a “network platform operator” carrying out data processing activities that affect or may affect national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security shall apply for a cybersecurity review. As a network platform operator who possesses personal information of more than one million users for purposes of the Cybersecurity Review Measures, we have applied for and completed a cybersecurity review with respect to our proposed overseas listing pursuant to the Cybersecurity Review Measures.</w:t>
      </w:r>
    </w:p>
    <w:p>
      <w:pPr>
        <w:spacing w:after="0" w:line="81" w:lineRule="exact"/>
        <w:rPr>
          <w:sz w:val="20"/>
          <w:szCs w:val="20"/>
          <w:color w:val="auto"/>
        </w:rPr>
      </w:pPr>
    </w:p>
    <w:p>
      <w:pPr>
        <w:jc w:val="both"/>
        <w:ind w:left="1080" w:hanging="532"/>
        <w:spacing w:after="0" w:line="25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on November 14, 2021, the CAC commenced to publicly solicit comments on the Regulations on the Administration of Cyber Data Security (Draft for Comments) (the “Draft Cyber Data Security Regulation”). The Draft Cyber Data Security Regulation has not been officially enacted as of the date of this prospectus. According to the Draft Cyber Data Security Regulation, data processors shall apply for a cybersecurity review when carrying out the following activities: (i) the merger, reorganization or division of internet platform operators that have acquired a large number of data resources related to national security, economic development or public interests, which affect or may affect national security; (ii) data processors that handle personal information of more than one million people contemplating to list its securities on a “foreign” stock exchange; (iii) data processors contemplating to list its securities on a stock exchange in Hong Kong, which affects or may affect national security; and (iv) other data processing activities that affect or may affect national security. According to the PRC National Security Law, “national security” refers to a status in which the regime, sovereignty, unity, territorial integrity, welfare of the people, sustainable economic and social development, and other vital interests of the state are relatively not in danger and not threatened internally or externally and the ability to maintain a sustained security status. However, the criteria for determining the circumstances that “affect or may affect national security” for the purpose of the Draft Cyber Data Security Regulation are subject to further clarification by the CAC. It also remains uncertain when the Draft Cyber Data Security Regulation will be adopted and become effective and whether it will be adopted in its current draft form. It also remains uncertain whether future regulatory changes would further affect our business operations. We will closely monitor and assess any development in the rulemaking process. If the enacted version of the Draft Cyber Data Security Regulation mandates additional clearance and other specific actions to be completed by China-based companies listed on a foreign stock exchange like us, we face uncertainties as to whether such clearance can be timely obtained, or at all.</w:t>
      </w:r>
    </w:p>
    <w:p>
      <w:pPr>
        <w:spacing w:after="0" w:line="19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 applicability of the Cybersecurity Review Measures and the Draft Cyber Data Security Regulation and how we will comply with these regulations, see “Regulation—Regulations on Information Security and Privacy Protection.”</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of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services. If so, in addition to the possibility of fines, lawsuits, complaints, inquiries, allegations,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information, where applicable) may potentially deter end users from consenting to certain uses of their personal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general, negative publicity of us or our industry regarding actual or perceived violations of our end users’ privacy-related rights, including fines and enforcement actions against us or other similarly placed businesses, also may impair users’ trust in our privacy practices and make them reluctant to give their consent to share their data with us. Any inability to adequately address data privacy or security-related concerns, complaints, inquiries or allegations when they arise,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 In addition, due to data privacy or data security concerns, our ability to retain or increase our user base and user engagement may be materially and adversely affected, we may not be able to maintain or grow our revenue as anticipated and our financial results could be materially and adversely affected.</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With regard to our commercial arrangements, we and our counterparties, including business partners and external service providers, might be subject to contractual obligations regarding the processing of personal information.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19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While we strive to comply with our internal data privacy guidelines as well as all applicable data privacy and security laws and regulations and contractual obligations in respect of personal information, there is no assurance that we are able to comply with these laws, regulations and contractual obligations in all respects. Any failure or perceived failure by us, external service providers or business partners to comply may result in proceedings or actions against us, including fines and penalties or enforcement orders (including orders to cease processing activities) being levied on us by government agencies or proceedings or actions against us by our business partners, customers or end-users, including class action privacy litigation in certain jurisdictions (if applicable), and could damage our reputation and discourage current and future users from using our services, which could materially and adversely affect our business, financial condition and results of operations. We from time to time conduct internal review on our compliance with internal guidelines and applicable laws and regulations concerning data privacy and security. These internal reviews have revealed several issues and vulnerabilities, such as our failure to process sensitive information in strict compliance with applicable data privacy laws and regulations, to implement required information security protection mechanisms, or to make filings with the competent authorities for our use of recommendation algorithms, among other things. As of the date of this prospectus, we have implemented or are in the process of implementing measures to address the aforesaid deficiencies. However, there is no guarantee that these measures will be effective or that deficiencies in our past data privacy and security practices will not subject us to legal and regulatory liabilities, in which case our business, financial condition and results of operations may be materially and adversely affected.</w:t>
      </w:r>
    </w:p>
    <w:p>
      <w:pPr>
        <w:spacing w:after="0" w:line="19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compliance with applicable laws on data privacy requires substantial expenditure and resources, including to continually evaluate our policies and processes and adapt to new requirements that are or become applicable to us on a jurisdiction-by-jurisdiction basis, which would impose significant burdens and costs on our operations or may require us to alter our business practices. Concerns about the security of personal information also could lead to a decline in general Internet usage, which could result in a decrease in demand for our services and have a material and adverse effect on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transfer, share, disclose, and use information and data from our customers, and our actual or perceived failure to protect such information and data or respect our customers’ privacy could damage our reputation and brand and harm our business and operating results.</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Some functions of our services involve the storage and transmission of consumers’ information, such as contact information of consumers who connect with dealers, profile information of users who create accounts on our platforms, as well as dealers’ and vehicles’ information. Some of this information may be private, and security breaches could expose us to a risk of loss or exposure of this information, which could result in potential liability, litigation, and remediation costs. We may also be liable for improper collection, use or appropriation of personal information provided by our users. For example, hackers could steal our users’ profile passwords, names, email addresses, phone numbers, and other personal information. We rely on encryption and authentication technology developed by ourselves or licensed from third parties (as applicable) to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partners, vendors, and employees may lose trust and confidence in us, and dealers may decrease the use of our digitalization solutions, or stop or downgrade their subscriptions with us.</w:t>
      </w:r>
    </w:p>
    <w:p>
      <w:pPr>
        <w:spacing w:after="0" w:line="19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 outside parties have attempted and will likely continue to attempt to fraudulently induce our customers, dealers, employees, consumers, or third-party service providers to disclose sensitive information in order to gain access to our information or the information of customers’, consumers’, dealers’, employees’ and third-party service providers.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are often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Any or all of the issues above could adversely affect our brand reputation, negatively impact our ability to attract new customers and increase engagement by existing customers, cause existing customers to reduce or stop the use of our services or close their accounts, cause existing customers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financial condition and results of operations.</w:t>
      </w:r>
    </w:p>
    <w:p>
      <w:pPr>
        <w:spacing w:after="0" w:line="287"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and software may be subject to security breaches, interruptions, failures and/or other errors. Real or perceived error or failures in our software and system could negatively impact our results of operations and growth prospects.</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system and software may be subject to security breaches.</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success depends on the confidence of dealers, OEMs and our other network users/participants and data providers in our ability to store, process and transmit confidential information securely over the Internet or otherwise and operate our computer systems and operations without significant disruption or failure. We transmit substantial amounts of confidential information, including non-public personal information of consumers, over the Internet. Moreover, even if our security measures are adequate, concerns over the security of third-party data that we store, process and transmit, which may be heightened by any well-publicized compromise of security,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may deter customers from using our services and/or deter vendors from providing their products to us. If our security measures are breached and unauthorized access to confidential information is obtained, our network may be perceived as not being secure and our customers may curtail or stop using our network or other systems and/or vendors may curtail or stop providing their products to us. Any failure of, or lack of confidence in, our secure online services could have a material adverse effect on our business, prospects, financial condition and results of operations.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Large commercial, healthcare, and financial entities with sophisticated security operations have been impacted by security breaches through malware and unintended system entry through compromised credentials or by other advanced means. Despite our focus on data security, we may not be able to stop unauthorized attempts to gain access to data that we store, process and transmit or to stop disruptions in the transmission or provision of data and communications among our network participants. Advances in computer capabilities, new discoveries in the field of cryptography, or other events or developments could result in a compromise or breach of the algorithms used by our services to protect data contained in our, our customers’ and/or our vendors’ databases and the information being stored, processed or transferred.</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Although we generally limit warranties and liabilities relating to data and system security in our customer and vendor contracts, they or third parties may seek to hold us liable for any losses suffered as a result of unauthorized access to their confidential information or non-public personal Information of their customers. In addition, we may not have limited our warranties and liabilities sufficiently or have adequate insurance to cover these losses. We may be required to expend significant capital and other resources to protect against security breaches and/or to alleviate the problems caused. Our security measures may not be sufficient to prevent security breaches, and any failure to prevent security breaches and/or alleviate any problems caused by security breaches could have a material adverse effect on our business, prospects, financial condition and results of operations.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network and systems may be vulnerable to interruptions or failures.</w:t>
      </w:r>
    </w:p>
    <w:p>
      <w:pPr>
        <w:spacing w:after="0" w:line="11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have experienced, and may experience in the future, network or system slowdowns and interruptions. These network and system slowdowns and interruptions may interfere with our ability to do business. Although we believe we have made and are continuing to make the appropriate upgrades to our system, regularly back up data and take other measures to protect against data loss and system failures, there is still risk that we may lose critical data or experience network failures. Such failures or disruptions may result in lost revenue opportunities for our customers, which could result in litigation against us or a loss of customers. Additionally, we have service level agreements with certain of our customers that may result in penalties or trigger cancelation rights in the event of a network slowdown or interruption. This could have a material adverse effect on our business, prospects, financial condition and results of operations.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Real or perceived errors or failures in our software and systems could negatively impact our results of operations and growth prospects.</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numerous proprietary and third-party technologies to deliver our services. If one or more of those technologies cannot scale up to meet demand, or if there are errors in our execution of any feature or functionality using any such technologies, then our business may be harmed. Because our software is often complex, undetected errors and failures may occur, especially when new versions or updates are made. Despite our testing, errors or bugs in our services or in third-party programs integrated with our services may not be found until the software or service is in active use by us or our customers. Moreover, our customers could incorrectly implement or inadvertently misuse our services, which could result in customers’ dissatisfaction and adversely impact the perceived utility of our services as well as our brand. Any of these real or perceived errors, failures or bugs could result in negative publicity, reputational harm, loss of or delay in market acceptance of our services, loss of competitive position or claims by customers for losses sustained by them, all of which, along with the costs of responding to such effects, may have a material adverse effect on our business, prospects, financial condition and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systems may be harmed by events beyond our control.</w:t>
      </w:r>
    </w:p>
    <w:p>
      <w:pPr>
        <w:spacing w:after="0" w:line="11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computer systems and operations are vulnerable to damage or interruption from natural disasters, such as fires, floods and hurricanes, or from power outages, telecommunications failures, terrorist attacks, network service outages and disruptions, “denial of service” attacks, computer viruses, break-ins, sabotage and other similar events beyond our control. The occurrence of any such event at our facilities, any third-party facility we utilize, or the disaster recovery center we use, could cause interruptions to or delays in our business and loss of data, or could render us unable to provide our services. In addition, the failure of a third-party facility to provide the data communications capacity required by us, as a result of human error, bankruptcy, natural disaster or other operational disruption, could cause interruptions to our computer systems and operations. The occurrence of any or all of these events could have a material adverse effect on our business, prospects, financial condition and results of operations.</w:t>
      </w:r>
    </w:p>
    <w:p>
      <w:pPr>
        <w:spacing w:after="0" w:line="293" w:lineRule="exact"/>
        <w:rPr>
          <w:sz w:val="20"/>
          <w:szCs w:val="20"/>
          <w:color w:val="auto"/>
        </w:rPr>
      </w:pPr>
    </w:p>
    <w:p>
      <w:pPr>
        <w:ind w:left="56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collect information from third-party platforms and purchase data from third-party data providers. If we are unable to maintain or grow such relationships, or experience interruptions in the products or services they provide, our financial condition or results of operations could be adversely affected.</w:t>
      </w:r>
    </w:p>
    <w:p>
      <w:pPr>
        <w:spacing w:after="0" w:line="67"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collect information from various third-party platforms to better serve our customers. We also obtain data from certain third-party data providers, including inventory management systems, automotive website providers, customer relationship management systems, dealer management systems, and third-party data licensors. Our business relies on our ability to obtain information and data for the benefit of our customers. We could experience interruptions in our information or data access for a number of reasons, including difficulties in renewing our agreements or collaborations with information or data providers, changes to the software used by information or data providers, efforts by industry participants to restrict access to information or data, increased fees we may be charged by information or data providers and the continuing effects of macroeconomic conditions. Our business operations and financial condition could be negatively affected if any current provider terminates its relationship with us or our service from any provider is interrupted. If there is a material disruption in the data provided to us, the information that we provide to our customers using our services may be limited. In addition, the quality, accuracy, and timeliness of this information may suffer, which may lead to a less valuable and less transparent customer experience for using our services and could negatively affect our business and operating results.</w:t>
      </w:r>
    </w:p>
    <w:p>
      <w:pPr>
        <w:spacing w:after="0" w:line="298" w:lineRule="exact"/>
        <w:rPr>
          <w:sz w:val="20"/>
          <w:szCs w:val="20"/>
          <w:color w:val="auto"/>
        </w:rPr>
      </w:pPr>
    </w:p>
    <w:p>
      <w:pPr>
        <w:ind w:left="5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our customers or business partners on our platforms could damage our brand, subject us to liability, and harm our business and financial results.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terms of service and acceptable use policy prohibit our customers and business partners from using our services to engage in illegal or otherwise prohibited activities and our terms of service and acceptable use policy permit us to terminate a customer’s or a business partner’s account if we become aware of such use. Customers or business partners may nonetheless engage in prohibited or illegal activities or upload or store content in violation of applicable laws, without our knowledge, which could subject us to liability. Furthermore, our brand may be negatively impacted by the actions of customers or business partners that are deemed to be hostile, offensive, inappropriate or illegal. While we use technology to monitor for the compliance status of customers and business partners against our terms of service and acceptable use policy for a number of our services, we do not proactively and comprehensively monitor or review the appropriateness of the content posted by our customers or business partners in connection with our services and we do not have control over their activities or the activities in which other users on our digital platform may engage. The safeguards we have in place may not be sufficient for us to avoid liability or avoid harm to our brand, especially if such hostile, offensive, inappropriate or illegal use is high profile, which could adversely affect our business and financial results. The laws relating to the liability of online service providers are evolving and subject to challenges including claims related to defamation, libel, breach of contract, invasion of privacy, negligence, and copyright or trademark infringement. Developments in these laws in various jurisdictions could subject us to liability, penalties or restrictions on our business.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to service on our websites or mobile applications could damage our reputation and result in a loss of customers, which could harm our business, brands, financial condition and results of operations. Any disruption to or discontinuity in the features and functions of our digital platform may materially and adversely affect our business.</w:t>
      </w:r>
    </w:p>
    <w:p>
      <w:pPr>
        <w:spacing w:after="0" w:line="67"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brands, reputation, and ability to attract dealers and OEMs depend on the reliable performance of our technology infrastructure and content delivery. We have experienced, and we may in the future experience, interruptions with our systems. Such interruptions, whether due to system failures, computer viruses, ransomware, physical break-ins, electronic breaches, or otherwise, could affect the security or availability of our platforms and marketplaces on our websites and mobile applications, and prevent or inhibit the ability of dealers and OEMs to access our services. For example, disruptions may affect our ability to activate customer accounts and manage our billing activities in a timely manner. Such interruptions may in the future result in third parties accessing our confidential and proprietary information, including our intellectual property. Problems with the reliability or security of our systems could harm our reputation and our ability to protect our confidential and proprietary information, which can result in a loss of customers and additional costs.</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Substantially all of the communications, network, and computer hardware used to operate our platforms are located in China. A disruption to one or more of these system, network or infrastructure may cause us to experience an extended period of system unavailability, which could negatively impact our relationship with our customers. Our systems and operations are vulnerable to damage or interruption from fire, flood, power loss, telecommunications failure, terrorist attacks, acts of war, electronic breaches,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Problems faced by our cloud service providers could adversely affect the experience consumers have while using our solutions. Our third-party cloud service providers may close their facilities without adequate notice. Any financial difficulties, up to and including bankruptcy, faced by our third-party cloud service providers or any of their service providers may have negative effects on our business, the nature and extent of which are difficult to predict. If our third-party cloud service providers are unable to keep up with our capacity needs, our business could be harmed.</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errors, defects, disruptions, or other performance or reliability problems with our network operations could cause interruptions in access to our services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which may result from interruptions with our service due to system failures.</w:t>
      </w:r>
    </w:p>
    <w:p>
      <w:pPr>
        <w:spacing w:after="0" w:line="180"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rely on the proper functioning of features and functions of our digital platform for the daily operations of our digitalization solutions and transaction services. Although we have implemented a comprehensive rules and protocols for use of digital platform, we cannot assure you that all aspects of our rules and protocols will be always satisfactorily implemented. With the increasing number of customers, including used car dealers and OEMs, using our digital platform who may not be familiar with our rules and protocols, it may be difficult for us to effectively monitor our customers or other parties to ensure that their activities on our digital platform are in accordance with our predetermined rules and protocols. If violations of rules and protocols or other inappropriate actions occur, such as circumventing our digitalization solutions and transaction services to facilitate transactions that are required to be partitioned according to relevant rules and protocols, and if we fail to effectively prevent non-compliance or discipline the responsible customers or other parties, the effectiveness of our digital platform may be diminished and other customers using our digitalization solutions and transaction services may be less willing to follow the rules, which could materially and adversely affect our business, financial condition and results of operations.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proprietary technology, including technology for critical functions of our business. Failure to properly maintain or promptly update our technology may result in disruptions to or lower quality of our services, and our business, financial condition and results of operations may be materially and adversely affected.</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rely on our proprietary technology, including websites and mobile applications, car inspection system and AI algorithms for critical functions of our businesses. See “Business—Our Data Capabilities and Technologies.” Maintaining and upgrading our technology carry certain risks, including the risk of disruptions caused by significant design or deployment errors, delays or deficiencies, which has made and may continue to make our platform and services unavailable. We may also implement additional or enhanced technology in the future to accommodate our growth and to provide additional capabilities and functionalities. The implementation of new or enhanced technologies may be disruptive to our business as it can be time-consuming and expensive, and may increase management responsibilities and divert management attention. Additionally, our proprietary AI algorithms are based on data-driven analytics. If we do not have a large amount of data or the quality of data available to us for analysis is unsatisfactory, or if our algorithms have deficiencies, our proprietary AI algorithms may fail to perform effectively. If we fail to properly maintain or promptly upgrade our technology, our services may be disrupted or become of lower quality or unprofitable, and our business, financial condition and results of operations may be materially and adversely affected.</w:t>
      </w:r>
    </w:p>
    <w:p>
      <w:pPr>
        <w:spacing w:after="0" w:line="298" w:lineRule="exact"/>
        <w:rPr>
          <w:sz w:val="20"/>
          <w:szCs w:val="20"/>
          <w:color w:val="auto"/>
        </w:rPr>
      </w:pPr>
    </w:p>
    <w:p>
      <w:pPr>
        <w:ind w:left="5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third-party technology to complete critical business functions, and if that technology fails to adequately serve our needs and we cannot find alternatives, it may significantly impact our operating results.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success depends upon our relationships with third parties, including, among others: our payment processor; our cloud service providers; and our partners and contractors for delivery, inspection and certification associated with our business.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be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macroeconomic conditions or otherwise, we could suffer increased costs and we may be unable to provide similar services until we could find an equivalent or develop replacement technology or operations, which could disrupt our business and adversely affect our revenue, business, financial condition and results of operations. Furthermore, if we are unsuccessful in identifying or finding high-quality partners, fail to establish cost-effective relationships with them, or ineffectively manage these relationships, it could have an adverse impact on our business and financial results.</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information technology systems require that we integrate the platforms hosted by certain third-party service providers. We are responsible for integrating these platforms and updating them to maintain proper functionality. Issues with these integrations, our failure to properly update third party platforms or any interruptions to our internal enterprise systems could harm our business by causing delays in our ability to quote, activate service and bill new and existing customers on our platform.</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our used car inspection and certification operations.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a variety of risks associated with our used car inspection and certification operations. If we are unable to operate our used car inspection and certification services efficiently, it may result in delivery delays, delays in listing vehicles on our platform, additional expenses and the loss of potential and existing partners and wholesale sellers and subsequent revenues, which could have a material adverse effect on our business, financial condition and results of operations. Additionally, if our used car inspection results are not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accurate or if we fail to thoroughly inspect the vehicles pursuant to the agreed-upon standards and requirements, we may incur additional liabilities ranging from return of inspection fees to ultimate buy-back of the vehicle inspected. We have also experienced, and may continue to experience, rising costs in connection with our used car inspection and certification operations. Such rising costs may continue to negatively affect our business, financial condition and results of operations.</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 in certain locations, we currently outsource some used car inspection and certification services to third party providers. If we are unable to maintain our relationship with our third-party service providers, such service providers could cease to provide the services we need. Additionally, if such service providers are unable to effectively deliver services to our standards on time and at the prices we have agreed upon, and we are unable to contract with alternative vendors or replace such service providers with our in house specialists, we could experience delivery delays, a decrease in the quality of our reconditioning services, delays in listing vehicles consigned to us for sale and increased time to sale, and additional expenses and loss of potential and existing corporate vehicle sourcing partners and retail sellers and subsequent revenues, which could have a material adverse effect on our business, financial condition and results of operations.</w:t>
      </w:r>
    </w:p>
    <w:p>
      <w:pPr>
        <w:spacing w:after="0" w:line="293" w:lineRule="exact"/>
        <w:rPr>
          <w:sz w:val="20"/>
          <w:szCs w:val="20"/>
          <w:color w:val="auto"/>
        </w:rPr>
      </w:pPr>
    </w:p>
    <w:p>
      <w:pPr>
        <w:ind w:left="5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or enhance customer trust in us could damage our reputation, reduce or slowdown the growth of our customer base, which could harm our business, financial condition and results of operations.</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reputation as a trusted provider of digitalization solutions and transaction services for dealers and OEMs in China is critical to our success. If we fail to maintain a high level of customer trust in our goods and services, our business, financial condition and results of operations could be materially and adversely affected. We have received in the past, and we may continue to receive in the future, communications or complaints alleging that our services are not functioning, cars listed on our platform are defective or inconsistent with the information provided on our platform, or the services provided by our third-party service providers are unsatisfactory to our customers. Such complaints may adversely affect our reputation and brand among our customers, which may further affect our business, financial condition and results of operations.</w:t>
      </w:r>
    </w:p>
    <w:p>
      <w:pPr>
        <w:spacing w:after="0" w:line="291" w:lineRule="exact"/>
        <w:rPr>
          <w:sz w:val="20"/>
          <w:szCs w:val="20"/>
          <w:color w:val="auto"/>
        </w:rPr>
      </w:pPr>
    </w:p>
    <w:p>
      <w:pPr>
        <w:ind w:left="56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work with third-party service providers and business partners. If third-party service providers and business partners we rely on discontinue their cooperation with us, our business can be materially and adversely affected. In addition, actions of third parties are outside of our control and such actions or our failure to effectively ensure the quality of services provided by third-party service providers could materially and adversely affect our reputation, business, financial condition and results of operations.</w:t>
      </w:r>
    </w:p>
    <w:p>
      <w:pPr>
        <w:spacing w:after="0" w:line="7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work with third-party service providers to serve customers and fulfill the transactions made on our platform, such as auto financing, logistics services, title transfers, and other after-sales services. For instance, we utilize third-party carriers to transport vehicles from and/or to our facilities as well as from our facilities directly to end purchasers pursuant to requests from our customers, primarily dealers. As a result, we are exposed to risks associated with the transportation industry such as weather, traffic patterns, local and national regulations, vehicular crashes, gasoline prices and lack of reliability of many independent carriers. Third-party carriers who deliver vehicles could adversely affect the customer experience if they do not perform to our standards of professionalism and courtesy, potentially negatively impacting our brand perception, and eventually, business results.</w:t>
      </w:r>
    </w:p>
    <w:p>
      <w:pPr>
        <w:spacing w:after="0" w:line="18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carefully select our third-party service providers and business partners, but we are not able to control their actions. If these third parties fail to perform as we expect, experience difficulty meeting our requirements or standards, fail to conduct their business ethically, fail to provide satisfactory services to our customers, receive negative press coverage, violate applicable laws or regulations, breach the agreements with us, or if the agreements we have entered into with the third parties are terminated or not renewed, our business and reputation could be damaged. In addition, if such third-party service providers cease operations, temporarily or permanently, face financial distress or other business disruptions, increase their fees, or if our relationships with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them deteriorate, we could suffer from increased costs, be involved in legal or administrative proceedings with or against our third-party service providers and experience delays in providing customers with similar services until we find or develop a suitable alternative. In addition, if we are not successful in identifying high-quality partners, establishing cost-effective relationships with them, or effectively managing these relationships, our business, financial condition and results of operations would be materially and adversely affected.</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provide trainings to our third-party service providers and require them to act in line with our operating and customer servicing standards. However, if these third-party service providers fail to maintain a high level of performance that is consistent with our requirements, or if we fail to effectively ensure the quality of services provided by these third-party providers, the level of customer satisfaction and trust we enjoy may be harmed, and our business, financial condition and results of operations may be adversely affected.</w:t>
      </w:r>
    </w:p>
    <w:p>
      <w:pPr>
        <w:spacing w:after="0" w:line="284" w:lineRule="exact"/>
        <w:rPr>
          <w:sz w:val="20"/>
          <w:szCs w:val="20"/>
          <w:color w:val="auto"/>
        </w:rPr>
      </w:pPr>
    </w:p>
    <w:p>
      <w:pPr>
        <w:ind w:left="5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in part, on our marketing efforts for customer acquisition and achieving high level of brand recognition. If we fail to conduct our marketing activities effectively and efficiently, our business could be harmed.</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continue to invest financial and other resources in marketing initiatives to grow our customer base. We currently carry out our marketing activities mainly by word-of-mouth referrals among dealers and business development efforts targeted at larger OEMs. We face intense competition from our competitors who may have greater marketing resources than we do. If we fail to conduct our marketing activities effectively and efficiently, or if our traffic acquisition efforts and marketing campaigns are not successful, our growth, business, financial condition and results of operations could be materially and adversely affected.</w:t>
      </w:r>
    </w:p>
    <w:p>
      <w:pPr>
        <w:spacing w:after="0" w:line="287" w:lineRule="exact"/>
        <w:rPr>
          <w:sz w:val="20"/>
          <w:szCs w:val="20"/>
          <w:color w:val="auto"/>
        </w:rPr>
      </w:pPr>
    </w:p>
    <w:p>
      <w:pPr>
        <w:ind w:left="5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media coverage related to our business or related parties, regardless of its validity, could adversely affect our business, financial condition and results of operations.</w:t>
      </w:r>
    </w:p>
    <w:p>
      <w:pPr>
        <w:spacing w:after="0" w:line="5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recognition and reputation of our brands among dealers, OEMs, and customers and the industry in general have significantly contributed to the success of our business. Continuing to maintain, protect and strengthen our brands is critical to our market position. Maintaining and strengthening our brands will likely depend significantly on our ability to provide high-quality services on our platform. If we fail to maintain a strong brand, our business, financial condition and results of operations will be materially and adversely affected.</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reputation and brands may be impacted by various factors, some of which are difficult or impossible to predict, control and costly or impossible to remediate. Negative publicity or media coverage of our business, our industry, our affiliates, our related parties, our employees, our third-party service providers and business partners, our directors and management or our shareholders, including, without limitation, alleged failure to comply with applicable laws and regulations, alleged fraudulent car listings, alleged misconduct or fraudulent activities by our employees, other business partners on our platform or companies that are or may be considered to be associated with us, alleged misrepresentation by our sales consultants or third-party service providers, alleged misleading representation of contents available on our platform, alleged unethical business practices, alleged opaque price and transaction process, rumors or negative coverage relating to our business, industry and other industry participants in general, breach of data security, failure to protect user privacy, inappropriate business practices, disclosure of inaccurate operating data, and negative information on blogs and social media websites, regardless of its validity, could damage our reputation. These allegations, even if factually incorrect or based on isolated incidents, may lead to inquiries, regulatory investigations or legal actions against us. Such actions could substantially damage our reputation and cause us to incur significant costs to defend ourselves.</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fail to correct or mitigate misinformation or negative information about us, including information spread through social media or traditional media channels, customer trust in us may be undermined, which would have a material adverse effect on our business, financial condition and results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acceptance of our services may be influenced by a limited number of automobile OEMs, and we may not be able to maintain or grow these relationships with these OEMs.</w:t>
      </w:r>
    </w:p>
    <w:p>
      <w:pPr>
        <w:spacing w:after="0" w:line="5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Although the automotive industry is fragmented, a relatively small number of OEMs may have the ability to exert significant influence over the market acceptance of our services, especially for our new car-related services provided to OEMs, due to their influences within the automobile industry and car dealer community, concentrated purchasing activities, visibility of their endorsement or recommendation of specific services, and their ability to define technical standards and marketing guidelines, among others. While automotive dealers are generally free to purchase the solutions of their choosing, if an OEM has endorsed or certified a provider of products or services to its associated or franchised dealers and if our services lack such certification or endorsement, the adoption or retention of our services could be materially impaired.</w:t>
      </w:r>
    </w:p>
    <w:p>
      <w:pPr>
        <w:spacing w:after="0" w:line="291" w:lineRule="exact"/>
        <w:rPr>
          <w:sz w:val="20"/>
          <w:szCs w:val="20"/>
          <w:color w:val="auto"/>
        </w:rPr>
      </w:pPr>
    </w:p>
    <w:p>
      <w:pPr>
        <w:ind w:left="56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6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generate sufficient cash flows, we would require additional capital to pursue our business objectives and respond to business opportunities, challenges, or unforeseen circumstances, including the effects of the COVID-19 pandemic and other macroeconomic issues as well as to make marketing expenditures to improve our brand awareness, develop new services, further improve our platform and existing services, build and maintain our offline facilities,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equity and credit markets, including that due to macroeconomic conditions, may also have an adverse effect on our ability to obtain equity or debt financing. Our inability to obtain adequate financing or financing on terms that are satisfactory to us when we require it could significantly limit our ability to continue to pursue our business objectives and to respond to business opportunities, challenges, or unforeseen circumstances, and may adversely affect our business, operating results, financial condition, and prospects.</w:t>
      </w:r>
    </w:p>
    <w:p>
      <w:pPr>
        <w:spacing w:after="0" w:line="292" w:lineRule="exact"/>
        <w:rPr>
          <w:sz w:val="20"/>
          <w:szCs w:val="20"/>
          <w:color w:val="auto"/>
        </w:rPr>
      </w:pPr>
    </w:p>
    <w:p>
      <w:pPr>
        <w:ind w:left="5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raise additional capital, it may dilute our shareholders’ ownership in us or cause our shareholders to be subordinated to the rights of senior security holder.</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need to raise additional funds through public or private debt or equity financings in order to meet various objectives, such as:</w:t>
      </w:r>
    </w:p>
    <w:p>
      <w:pPr>
        <w:spacing w:after="0" w:line="131"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businesses, customers, technologies and services;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advantage of growth opportunities, including more rapid expansion;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capital improvements to increase our capacity;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services or funding service development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competitive pressures.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additional capital raised through the sale of equity, or convertible debt securities, may dilute our stockholders’ respective ownership percentages in us. Furthermore, any additional debt or equity financing we may need may not be available on terms favorable to us, or at all. If future financing is not available or is not available on acceptable terms, we may not be able to raise additional capital, which could significantly limit our ability to implement our business plan and grow our business.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ability to raise additional capital to fund our operations, limit our ability to react to changes in the economy or other industry and prevent us from making payments on the debt.</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incurred and may in the future incur additional indebtedness. Our ability to generate sufficient cash flow from operations to make scheduled payments on our debt will depend on a range of economic, competitive, regulatory and business factors, many of which are outside our control. Our business may not generate sufficient cash flow from operations to meet our debt service and other obligations, and currently anticipated cost savings and operating improvements may not be realized on schedule, or at all. If we are unable to meet our expenses and debt service and other obligations, we may need to refinance all or a portion of our indebtedness on or before maturity, reduce or discontinue dividends we may pay in the future, reduce or delay business activities, investments or capital expenditures, sell assets or raise equity. These alternative measures may not be successful and may not permit us to meet our scheduled debt service obligations, or we may not be able to effect these actions on commercially reasonable terms or at all, which could cause us to default on our obligations and impair our liquidity. Our inability to generate sufficient cash flow to satisfy our debt obligations, or to refinance our obligations on commercially reasonable terms, would have a material adverse effect on our business, prospects, financial condition and results of operations.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indebtedness could have important consequences, including the following:</w:t>
      </w:r>
    </w:p>
    <w:p>
      <w:pPr>
        <w:spacing w:after="0" w:line="131" w:lineRule="exact"/>
        <w:rPr>
          <w:sz w:val="20"/>
          <w:szCs w:val="20"/>
          <w:color w:val="auto"/>
        </w:rPr>
      </w:pPr>
    </w:p>
    <w:p>
      <w:pPr>
        <w:ind w:left="108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ability to borrow money (if necessary) for our working capital, capital expenditures, debt service requirements, strategic initiatives (including acquisitions) or other purposes;</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make it more difficult for us to satisfy our overall obligations with respect to our indebtedness, and any failure to comply with the obligations of any of our debt instruments, including restrictive covenants and borrowing conditions, could result in an event of default under the agreements governing such indebtedness, which could further result in an event of default under other instruments due to cross-default and cross-acceleration provisions in such instruments;</w:t>
      </w:r>
    </w:p>
    <w:p>
      <w:pPr>
        <w:spacing w:after="0" w:line="85"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cash flow from operations will be dedicated to the payment of principal of, and interest on, our indebtedness, including short-term loans, operating lease liabilities and amounts due to related parties and so will not be available for operations, future business opportunities, potential dividends to our stockholders or other purposes;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flexibility in planning for, or reacting to, changes in our operations or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more highly leveraged than some of our competitors, which may place us at a competitive disadvantage;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make us more vulnerable to downturns in our business or the economy generally;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restrict us from making strategic acquisitions, introducing new technologies or exploiting business opportunities;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along with the financial and other restrictive covenants in our indebtedness, among other things, our ability to borrow additional funds or dispose of assets.</w:t>
      </w:r>
    </w:p>
    <w:p>
      <w:pPr>
        <w:spacing w:after="0" w:line="266" w:lineRule="exact"/>
        <w:rPr>
          <w:sz w:val="20"/>
          <w:szCs w:val="20"/>
          <w:color w:val="auto"/>
        </w:rPr>
      </w:pPr>
    </w:p>
    <w:p>
      <w:pPr>
        <w:ind w:left="5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liable for contract, product liability or other claims, and disputes over such claims may disrupt our business and have a negative impact on our financial results.</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limited warranties to customers using our services. In addition, errors, defects or other performance problems in our services, including with respect to data that we store, process and provide in connection with our services, could result in financial or other damages to our customers or consumers. For instance, we currently have some contract disputes such as, among others, vehicle custody, detection and auction contract disputes, with our customers during our ordinary course of business that result in litigations. There can be no assurance that any limitations of liability set forth in our contracts would be enforceable or would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otherwise protect us from liability for damages. We maintain insurance coverage for our used car inspection and certification operations; however, there can be no assurance that this coverage will continue to be available on acceptable terms, in sufficient amounts to cover one or more large claims or at all, or that the insurer will not deny coverage for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financial condition and results of operations. Furthermore, any litigation, regardless of its outcome, could result in substantial cost to us and divert management’s attention from our operations and could have a material adverse effect on our business, financial condition and results of operations. In addition, some of our services are business-critical for our customers, and a failure or inability to meet a customer’s expectations could seriously damage our reputation and negatively impact our ability to retain existing business or attract new business.</w:t>
      </w:r>
    </w:p>
    <w:p>
      <w:pPr>
        <w:spacing w:after="0" w:line="18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Furthermore, in relation to certain used car auctions facilitated through our platform, we rely on the sellers’ representations and warranties stated in the relevant contracts regarding their ownership of the vehicles and their rights to dispose of them. However, if any of the sellers are found to have unlawfully disposed of vehicles on our platform without proper legal rights, or if our practice of relying primarily on the sellers’ representations and warranties is deemed non-compliant with applicable laws and regulations, we may become involved in disputes and be obligated to provide compensation or be subjected to regulatory sanctions or penalties.</w:t>
      </w:r>
    </w:p>
    <w:p>
      <w:pPr>
        <w:spacing w:after="0" w:line="287" w:lineRule="exact"/>
        <w:rPr>
          <w:sz w:val="20"/>
          <w:szCs w:val="20"/>
          <w:color w:val="auto"/>
        </w:rPr>
      </w:pPr>
    </w:p>
    <w:p>
      <w:pPr>
        <w:ind w:left="56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directors, executive officers and other key persons. If we lose their services, our business operations and growth prospects may be materially and adversely affected.</w:t>
      </w:r>
    </w:p>
    <w:p>
      <w:pPr>
        <w:spacing w:after="0" w:line="5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future success depends substantially on the continuing efforts of our directors, executive officers and key persons. In particular, we rely on the leadership, expertise, experience and vision of our directors and senior management team. If one or more of our directors, executive officers or other key persons are unable or unwilling to continue their services for us, whether due to resignation, accident, health condition, family considerations or any other reason, we might not be able to find their successors, in a timely manner, or at all. Since the markets in which we operate are characterized by high demand and intense competition for talent, we cannot assure you that we will be able to attract or retain qualified management or other highly skilled employees. Competition for qualified personnel is often intense in the industry we operate. If we are unable to recruit, train and retain qualified managerial or other employees, our brand and our business may be materially and adversely affected.</w:t>
      </w:r>
    </w:p>
    <w:p>
      <w:pPr>
        <w:spacing w:after="0" w:line="18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have key man insurance for our directors, executive officers or other key persons. If any of our key persons terminate his or her services or otherwise becomes unable to provide continuous services to us, our business may be severely and adversely affected, our financial condition and results of operations may be materially and adversely affected and we may incur additional expenses to recruit, train and retain qualified personnel. Each of our executive officers and key employees has entered into an employment agreement with a non-compete clause with us. However, these agreements may be breached by the counterparties, and there may not be adequate and timely remedies available to us to compensate our losses arising from the breach. We cannot assure you that we would be able to enforce these non-compete clauses. If any of our executive officers or key persons joins a competitor or forms a competing company, we may lose customers, know-hows and key professionals and staff members.</w:t>
      </w:r>
    </w:p>
    <w:p>
      <w:pPr>
        <w:spacing w:after="0" w:line="293" w:lineRule="exact"/>
        <w:rPr>
          <w:sz w:val="20"/>
          <w:szCs w:val="20"/>
          <w:color w:val="auto"/>
        </w:rPr>
      </w:pPr>
    </w:p>
    <w:p>
      <w:pPr>
        <w:ind w:left="5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susceptible to misconduct, improper business practices and other fraudulent conduct by or between our employees and third parties.</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rely on our employees or other third-party contractors to carry out our operating objectives and are exposed to many types of operational risks, including the risk of misconduct and errors by our employees. Our business depends on our employees to interact with potential customers, conduct car inspection, process large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number of transactions and provide support for other key aspects of our business, all of which involve the use and disclosure of personal information and are susceptible to human errors on the part of our employees.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could be materially and adversely affected if transactions were redirected, misappropriated or otherwise improperly executed, if personal information was disclosed to unintended recipients or if an operational breakdown or failure occurred when processing transactions, whether as a result of human error, purposeful sabotage or fraudulent manipulation of our operations or systems.</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we provide periodic and solid trainings to all our employees and protocols to third-party contractors, it is not always possible to identify, deter or prevent their misconduct or errors, and the precautions we take to detect and prevent potential misconducts and human errors may not be completely effective in controlling risks or losses. If any of our employees or third-party contractors takes, converts or misuses funds, documents or data or fails to follow protocols when interacting with customers or among themselves, we could be liable for damages and subject to regulatory actions and penalties. We could also be perceived to have facilitated or participated in the illegal misappropriation of funds, documents or data, or failed to follow applicable protocols, and therefore be subject to civil or criminal liability. Our employees or third-party contractors may also engage in improper business practices and other fraudulent conduct with third parties. As a result of these potentially damaging activities, we could incur significant losses, which could have a material adverse effect on our business, financial condition and results of operations.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and we may continue to be, adversely affected by the COVID-19 pandemic.</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COVID-19 pandemic has caused an international health crisis and resulted, and may continue to result in significant disruptions to the global economy as well as businesses and capital markets around the world. Variants of COVID-19, Delta and Omicron, which appear to be more transmissible and contagious than previous COVID-19 variants, have caused an increase in the number of COVID-19 cases globally. The impact of COVID-19 cannot be predicted at this time, and could depend on a number of factors, including the availability of vaccines in different parts of the world, vaccination rates among the population, and the effectiveness of COVID-19 vaccines against the Delta and Omicron variants and any other variants that may emerge.</w:t>
      </w:r>
    </w:p>
    <w:p>
      <w:pPr>
        <w:spacing w:after="0" w:line="168"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operations have been and may continue to be materially adversely affected by a range of factors related to the COVID-19 pandemic. During the COVID-19 pandemic, we temporarily closed our offices and our employees worked remotely, which has disrupted the operations of our business. Fluctuation in infection rates in the regions in which we operate has resulted in periodic changes in restrictions that vary from region to region and may require rapid response to new or reinstated orders. Measures imposed or implemented in an effort to limit the spread of the pandemic have resulted in, and may continue to result in, restrictions on our ability and the ability of our customers to conduct businesses. In addition, these restrictions and continued concern about the spread of the disease have impacted car shopping by consumers and disrupted the operations of car dealerships, which has adversely affected and may continue to adversely affect the market for automobile purchases. Specifically, any measures imposed or implemented to combat the pandemic including the Delta and Omicron variants and any future variants that may emerge may result in challenges faced by our customers in conducting their business operations, which may in turn have an adverse effect on their ability to purchase our services.</w:t>
      </w:r>
    </w:p>
    <w:p>
      <w:pPr>
        <w:spacing w:after="0" w:line="188"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past, we have provided assistance to our customers to help them maintain their business operations during the COVID-19 pandemic, such as by offering more favorable credit terms to customers. We may consider reinstating further relief measures as we continue to evaluate the impact of the pandemic on our customers. However, any additional billing relief may result in a decline in our revenue and have a material adverse effect on our business. Furthermore, during the pandemic, we have observed an increase in account delinquencies from our customers who have been financially challenged by the pandemic and have failed to pay us on time or at all. We may continue to experience such challenges in the future.</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COVID-19 pandemic has had a significant impact on our revenue, leading us to implement cost-saving measures that disrupted our business and operations. If we implement similar measures in the future, we may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face unintended consequences, such as the loss of key employees, increased costs of hiring new employees, undesired attrition, and the risk that anticipated cost savings may not be achieved at expected levels, any of which may materially adversely affect our business, financial condition and results of operations. We will continue to monitor and evaluate the effects of the pandemic, including the impact of the Delta and Omicron variants and any future variants that may emerge, on our business and operating results. However, uncertainties relating to the duration of the pandemic, effectiveness of governmental responses and other preventative and containment actions, vaccine distribution and acceptance, future shifts in behavior, and the length or severity of the measures adopted to combat the pandemic make it difficult to accurately predict the ultimate impact of these conditions on our operations. Additionally, we cannot predict the adverse impact of the pandemic on global economies and financial markets, which may have a significant negative impact on our business, financial condition and results of operations.</w:t>
      </w:r>
    </w:p>
    <w:p>
      <w:pPr>
        <w:spacing w:after="0" w:line="296" w:lineRule="exact"/>
        <w:rPr>
          <w:sz w:val="20"/>
          <w:szCs w:val="20"/>
          <w:color w:val="auto"/>
        </w:rPr>
      </w:pPr>
    </w:p>
    <w:p>
      <w:pPr>
        <w:ind w:left="5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some open-source software, and any failure to comply with the terms of one or more of these open-source licenses could negatively affect our business.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use open-source software in our services and expect to use open-source software in the future. The terms of various open-source licenses have not been interpreted by Chinese courts, and there is a risk that such licenses could be construed in a manner that imposes unanticipated conditions or restrictions on our ability to market our platform. Under the terms of certain open-source licenses, if we combine our proprietary software with open-source software in a certain manner, we could be required to release the source code of our proprietary software and to make our proprietary software available under open-source licenses. If portions of our proprietary software are determined to be subject to an open-source license, we could be required to publicly release the affected portions of our source code, or to re-engineer all or a portion of our technologies or otherwise be limited in the licensing of our technologies, each of which could reduce or eliminate the value of our technologies and services. In addition to risks related to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negatively affect our business and operating results.</w:t>
      </w:r>
    </w:p>
    <w:p>
      <w:pPr>
        <w:spacing w:after="0" w:line="298" w:lineRule="exact"/>
        <w:rPr>
          <w:sz w:val="20"/>
          <w:szCs w:val="20"/>
          <w:color w:val="auto"/>
        </w:rPr>
      </w:pPr>
    </w:p>
    <w:p>
      <w:pPr>
        <w:ind w:left="5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not be subject to liability claims or legal or regulatory liability for any inappropriate or illegal content, which could subject us to liabilities and cause damages to our reputation.</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information displayed on our websites and various mobile applications may include content generated by our users and other third-party sources, which we do not independently verify. Failure to identify and fully appreciate such risks will negatively affect our reputation, client relationship, operations and prospects.</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Although we implement various monitoring procedures to identify and remove inappropriate or illegal content, we cannot assure you that there will be no inappropriate or illegal content included in our websites and mobile applications. We may face civil, administrative or criminal liability or legal or regulatory sanctions, such as requiring us to restrict or discontinue our content or services, if an individual or corporate, governmental or other entity believes that any of the content on our websites and mobile applications violates any laws, regulations or governmental policies or infringes upon its legal rights. Even if such a claim were not successful, defending such a claim may cause us to incur substantial costs. Moreover, any accusation of inappropriate or illegal content in our content offerings could lead to significant negative publicity, which could harm our reputation, business, financial condition and results of operations.</w:t>
      </w:r>
    </w:p>
    <w:p>
      <w:pPr>
        <w:spacing w:after="0" w:line="293" w:lineRule="exact"/>
        <w:rPr>
          <w:sz w:val="20"/>
          <w:szCs w:val="20"/>
          <w:color w:val="auto"/>
        </w:rPr>
      </w:pPr>
    </w:p>
    <w:p>
      <w:pPr>
        <w:ind w:left="5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automobiles in our warehouses and other facilities may be stolen, vandalized or suffer weather related damages. If any of these happens, our reputation, business and operating results may be adversely affected.</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part of our delivery services, we place automobiles from our customers in parking spaces and warehouses we rent from third parties. We may not be able to properly store these automobiles before they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purchased by consumers or disposed of. The automobiles stored at our parking space and warehouses may be stolen, vandalized or suffer weather related damages. Furthermore, our customers or ultimate consumers may dispute as to whether we have properly store and deliver their vehicles. If any of these were to occur, we may suffer losses and our brand image and relationship with customers may be harmed.</w:t>
      </w:r>
    </w:p>
    <w:p>
      <w:pPr>
        <w:spacing w:after="0" w:line="280" w:lineRule="exact"/>
        <w:rPr>
          <w:sz w:val="20"/>
          <w:szCs w:val="20"/>
          <w:color w:val="auto"/>
        </w:rPr>
      </w:pPr>
    </w:p>
    <w:p>
      <w:pPr>
        <w:ind w:left="5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licenses, permits and approvals from, or complete filings with, competent regulatory authorities required for our business operations may materially and adversely affect our business, financial condition and results of operations.</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required to obtain various licenses, permits and approvals or complete necessary filings with the competent regulatory authorities in connection with our business operations under the applicable PRC laws and regulations. To obtain and maintain these licenses, permits and approvals or to complete such filings, we must demonstrate satisfactory compliance with the applicable laws and regulations to the competent regulatory authorities.</w:t>
      </w:r>
    </w:p>
    <w:p>
      <w:pPr>
        <w:spacing w:after="0" w:line="81" w:lineRule="exact"/>
        <w:rPr>
          <w:sz w:val="20"/>
          <w:szCs w:val="20"/>
          <w:color w:val="auto"/>
        </w:rPr>
      </w:pPr>
    </w:p>
    <w:p>
      <w:pPr>
        <w:jc w:val="both"/>
        <w:ind w:left="1080" w:hanging="532"/>
        <w:spacing w:after="0" w:line="25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our online platform through which we offer a diverse range of services, features and functions. We have obtained certain value-added telecommunications service licenses (the “ICP Licenses”) to operate our online platform in accordance with PRC laws and regulations. However, due to uncertainties in the interpretation and implementation of PRC laws and regulations and the enforcement practices of relevant government authorities, we cannot guarantee that we have obtained all the necessary licenses, permits or approvals, or have completed all the necessary filings, for our services, features and functions. For instance, to enhance user experience, we allow users to engage in car transactions and make deposits on our platform. These transaction offerings may constitute “e-commerce services” under the PRC laws and regulations which would require us to obtain a value-added telecommunications service licenses for online data processing and transaction processing business (an “EDI License”). While we currently hold the required EDI Licenses, we have historically operated the aforesaid services without holding the required EDI Licenses, and we cannot assure you that we will not be penalized for such historical non-compliant practices. Any such penalties imposed on us may adversely affect our business, results of operations and financial condition. We also enable instant communication and transaction between users within our mobile applications and allow users to discuss car listing information as well as warehousing and delivery details in real time. These services may constitute “instant communication services” for which an ICP License that covers instant communication services will be required. Additionally, we provide users of our mobile applications with information, such as information on car listings, and services on our online platforms using domain names that are not covered by our current ICP Licenses. As of the date of this prospectus, we are in the process of updating our existing ICP Licenses to cover the domain names currently in use. However, we cannot assure you that we are able to complete the update in a timely manner, or at all. Any failure by us to operate with the required licenses or within the permitted scope of business outlined in the licenses we have may subject us to confiscation of illegal income, fines, penalties and regulatory actions. In severe cases, it may lead to the closure of relevant business operations, which could significantly harm our business, financial condition and results of operations. Meanwhile, certain of our PRC operating entities historically offered services that required ICP Licenses without obtaining such required licenses. As of the date of this prospectus, these operating entities have either discontinued such operations or transferred the relevant businesses to our other operating entities that have obtained the proper licenses. However, we cannot assure you that we will not be penalized for our historical noncompliance, in which case our business, results of operations and financial condition may adversely affected.</w:t>
      </w:r>
    </w:p>
    <w:p>
      <w:pPr>
        <w:spacing w:after="0" w:line="110"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offered articles and videos relating to the automobile market for which we may be required by the competent regulatory authorities to obtain additional licenses, permits or approvals that we currently do not possess. As of the date of this prospectus, we have discontinued the offerings of the foregoing articles and videos relating to the automobile market on our online platforms and are not aware of any action, claim, or investigation being conducted or threatened by the competent regulatory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61" w:lineRule="auto"/>
        <w:rPr>
          <w:sz w:val="20"/>
          <w:szCs w:val="20"/>
          <w:color w:val="auto"/>
        </w:rPr>
      </w:pPr>
      <w:r>
        <w:rPr>
          <w:rFonts w:ascii="Times New Roman" w:cs="Times New Roman" w:eastAsia="Times New Roman" w:hAnsi="Times New Roman"/>
          <w:sz w:val="18"/>
          <w:szCs w:val="18"/>
          <w:color w:val="auto"/>
        </w:rPr>
        <w:t>authorities relating to our failure to obtain necessary licenses, permits or approvals for any of the above-mentioned offerings. However, in the event that our historical practices were considered non-compliant with relevant PRC laws and regulations, we may be subject to fines, suspension of business, confiscation of relevant equipment and other administrative penalties, which may adversely affect our business, financial condition and results of operations.</w:t>
      </w:r>
    </w:p>
    <w:p>
      <w:pPr>
        <w:spacing w:after="0" w:line="85" w:lineRule="exact"/>
        <w:rPr>
          <w:sz w:val="20"/>
          <w:szCs w:val="20"/>
          <w:color w:val="auto"/>
        </w:rPr>
      </w:pPr>
    </w:p>
    <w:p>
      <w:pPr>
        <w:jc w:val="both"/>
        <w:ind w:left="1080" w:right="20" w:hanging="532"/>
        <w:spacing w:after="0" w:line="253"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utilized a payment structure for our auction and certain other services where we received payments from buyers for used cars listed on our platform, and then settled with the sellers through our own account. We are able to deduct fees related to used car inspection and certification and other transaction services that we provide to the buyers and/or the sellers directly from the payments made by buyers before we settle payments with the sellers. The People’s Bank of China, or the PBOC, generally prohibits non-financial institutions from engaging in payment or settlement services without obtaining the necessary payment business license. Since June 2022, we have engaged a third-party financial institution that possesses the required payment business license to handle payments for our users. We plan to cease our own settlement practices gradually and rely solely on the financial institution for settlement. However, there remains a possibility that our practices could be subject to enforcement actions, in which case our reputation, business and results of operations may be adversely affected. If the PBOC or other regulatory authorities determine that our past or current payment practices do not comply with applicable laws and regulations, we may face regulatory actions, investigations, fines, and penalties, which could significantly harm our business, financial condition and results of operations.</w:t>
      </w:r>
    </w:p>
    <w:p>
      <w:pPr>
        <w:spacing w:after="0" w:line="97" w:lineRule="exact"/>
        <w:rPr>
          <w:rFonts w:ascii="Times New Roman" w:cs="Times New Roman" w:eastAsia="Times New Roman" w:hAnsi="Times New Roman"/>
          <w:sz w:val="18"/>
          <w:szCs w:val="18"/>
          <w:color w:val="auto"/>
        </w:rPr>
      </w:pPr>
    </w:p>
    <w:p>
      <w:pPr>
        <w:jc w:val="both"/>
        <w:ind w:left="1080" w:hanging="532"/>
        <w:spacing w:after="0" w:line="253"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PRC operating entities entered into certain finance leasing arrangements with a financial institution and car owners who consign their cars with us to offer financing to such car owners. Under this arrangement, the financing institutions would distribute funds first to our PRC operating entities, who would then transfer the funds to the car owners. These PRC operating entities’ involvement in such arrangements may be deemed to constitute engaging in auto financing services without the required licenses if our PRC operating entities charge an extra fee from these car owners. We have not subsequently entered into any additional similar financial leasing arrangements. In the event that our practices as described above were considered as non-compliant with relevant laws and regulations by the competent regulatory authorities, we may be subject to regulatory fines and other types of penalties. Furthermore, in connection with the foregoing finance leasing arrangements, the financing partner also required certain of our PRC subsidiaries to pledge part of their shares to protect them from borrower default. It is possible that we may lose our shares in such subsidiaries in the event of car owners’ default, which may have a negative impact on our control of such PRC operating entities.</w:t>
      </w:r>
    </w:p>
    <w:p>
      <w:pPr>
        <w:spacing w:after="0" w:line="99"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certain of our PRC operating entities were engaged in the used car related business but did not complete necessary filing with the Ministry of Commerce of the PRC, or MOFCOM, at the provincial level as required under current PRC laws and regulations. As of the date of this prospectus, these operating entities either completed the necessary filings or discontinued such operations. However, we cannot assure you that we will not be penalized for our historical incompliance and any such penalty may adversely affect our business, results of operations and financial condition.</w:t>
      </w:r>
    </w:p>
    <w:p>
      <w:pPr>
        <w:spacing w:after="0" w:line="88"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Moreover, we have historically failed to fulfill the required fire protection procedures, specifically the filing of fire control acceptance, for certain of our offline stores. This non-compliance with fire-related regulatory requirements exposes us to the potential risk of penalties and legal consequences, including administrative fines and orders to suspend the operation of affected premises. Besides, a number of our PRC subsidiaries have historically been fined for their failure to meet applicable fire-related regulatory requirements.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is uncertainty surrounding the interpretation and implementation of current and future laws and regulations that govern our business activities. If we fail to complete, obtain, maintain, or renew any required licenses, permits or approvals or make necessary filings, we may be subject to various penalties, such as the confiscation of illegal gains, fines, and the discontinuation or restriction of our operations. These penalties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disrupt our business operations and have a material adverse effect on our business, financial condition and results of operations.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attract new KOLs or retain our existing KOLs.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leverage Key Opinion Leaders, or KOLs, to promote our services and drive traffic to our online business. For instance, as part of our marketing services offered to OEMs and new car brokers, we invite KOLs to host streaming events. There is a risk that we may not be able to attract new KOLs or retain our existing KOLs if we fail to provide a stable and attractive revenue-sharing policy that is appealing to them. If any of our KOLs cease to cooperate with us during the term of the agreement, our marketing services offered to OEMs and new car brokers may be adversely affected. Furthermore, some KOLs may enter into exclusive contracts with other platforms, and our competitors may poach these KOLs from our platform. If we are unable to enforce our rights against such KOLs, there may be a decrease in traffic directed to OEMs and new car brokers through our marketing services.</w:t>
      </w:r>
    </w:p>
    <w:p>
      <w:pPr>
        <w:spacing w:after="0" w:line="293" w:lineRule="exact"/>
        <w:rPr>
          <w:sz w:val="20"/>
          <w:szCs w:val="20"/>
          <w:color w:val="auto"/>
        </w:rPr>
      </w:pPr>
    </w:p>
    <w:p>
      <w:pPr>
        <w:ind w:left="56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business partners to comply with applicable anti-money laundering laws and regulations could damage our reputation.</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and our business partners, such as the financial institutions that are engaged in our financial products referral services, are subject to anti-money laundering obligations under applicable anti-money laundering laws and regulations and are regulated in that respect by the PBOC. If we or any of our business partners fail to comply with applicable anti-money laundering laws and regulations, our reputation could suffer and we could become subject to regulatory action, which could have a material adverse effect on our business, financial condition and results of operations. Any negative perception of the industry, such as that arises from any failure of other loan referral service providers, consumer finance marketplaces or e-commerce platform for buying and selling used cars to detect or prevent money laundering activities, even if factually incorrect or based on isolated incidents, could compromise our image or undermine the trust and credibility we have established.</w:t>
      </w:r>
    </w:p>
    <w:p>
      <w:pPr>
        <w:spacing w:after="0" w:line="293"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other allegations by third parties, which may materially and adversely affect our business, results of operations and prospects.</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depend to a large extent on our ability to develop and maintain the intellectual property rights relating to our technology and online businesses. We have devoted considerable resources to the development and improvement of our car inspection technology and digitalization capabilities, mobile applications, mobile sites and websites and information technology systems. We cannot be certain that third parties will not claim that our business infringes upon or otherwise violates patents, trademarks, copyrights or other intellectual property rights that they hold. Companies operating online businesses and providing technology-based services are frequently involved in litigation related to allegations of infringement of intellectual property rights. The validity, enforceability and scope of protection of intellectual property rights in China are still evolving. We were subject to several trademark claims in the past and may in the future be subject to intellectual property infringement claims from time to time. As we face increasing competition and as litigation becomes a more common method for resolving commercial disputes in China, we face a higher risk of being the subject of intellectual property infringement claims.</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Defending against intellectual property claims is costly and can impose a significant burden on our management attention and resources, and favorable final outcomes may not be obtained in all cases. Such claims, even if they do not result in liability, may harm our reputation. Any resulting liability or expenses, or changes required to our services to reduce the risk of future liability, may have a material adverse effect on our business, results of operations and prospects.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and may incur significant costs in defending, our intellectual property and other proprietary rights, which could negatively impact our businesses.</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our patents, trademarks, software copyrights, trade secrets, our brand and other intellectual property rights and proprietary information are critical to our success. Any unauthorized use of intellectual property rights and proprietary information could harm our business, reputation and competitive advantages. We rely on a combination of patent, trademark, trade secret and copyright law, our internal control mechanism, and contractual arrangements to protect our intellectual property.</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Legal protection may not always be effective. Infringement of intellectual property rights continues to pose a risk in doing business. Monitoring and preventing unauthorized use is difficult. Furthermore, like many other countries where legal systems are developing, the application of laws governing intellectual property rights in China involves uncertainties and continues to evolve, which could involve risks to us. The practice of intellectual property rights enforcement action by Chinese regulatory authorities is in its early stage of development as in many other countries. In the event that we have to resort to litigation and other legal proceedings to enforce our intellectual property rights, such action, litigation or other legal proceedings could result in substantial costs and diversion of our management’s attention and resources and could disrupt our business. There is no assurance that we will be able to enforce our intellectual property rights effectively or otherwise prevent others from the unauthorized use of our intellectual property.</w:t>
      </w:r>
    </w:p>
    <w:p>
      <w:pPr>
        <w:spacing w:after="0" w:line="19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try, to the extent possible, to protect our intellectual property, technology, and confidential information by requiring our employees, third-party service providers, and consultants to enter into confidentiality and assignment of inventions agreements. Due to potential willful or unintentional conduct of personnel who have access to our confidential and proprietary information, these agreements and control measures may not effectively prevent unauthorized disclosure or use of our confidential information, unauthorized use of our intellectual property or technology and may not provide an adequate remedy in the event of such unauthorized disclosure or use. The enforceability of confidentiality agreements may vary from jurisdiction to jurisdiction. Failure to obtain or maintain trade secrets and/or confidential know-how protection could adversely affect our competitive position.</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Competitors may adopt service names or trademarks that are similar to ours, thereby harming our ability to build brand identity and possibly leading to user confusion. Our competitors may independently develop substantially equivalent proprietary information and may even apply for patent protection. If successful in obtaining such patent protection, our competitors could limit our use of our trade secrets and confidential know-how, and our financial condition and operating results would be adversely affected.</w:t>
      </w:r>
    </w:p>
    <w:p>
      <w:pPr>
        <w:spacing w:after="0" w:line="284" w:lineRule="exact"/>
        <w:rPr>
          <w:sz w:val="20"/>
          <w:szCs w:val="20"/>
          <w:color w:val="auto"/>
        </w:rPr>
      </w:pPr>
    </w:p>
    <w:p>
      <w:pPr>
        <w:ind w:left="56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including wages, and enforcement of stricture labor laws and regulations in the PRC, could adversely affect our business, financial condition and results of operations.</w:t>
      </w:r>
    </w:p>
    <w:p>
      <w:pPr>
        <w:spacing w:after="0" w:line="5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profitability and results of operations may be materially and adversely affected.</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we have been subject to certain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certain requirements in terms of signing labor contracts, minimum wages, paying remuneration, determining the term of employees’ probation and unilaterally terminating labor contracts. In the event that we decide to terminate some of our employees or otherwise change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our employment or labor practices, the PRC Labor Contract Law and its implementation rules may limit our ability to effect those changes in a desirable or cost-effective manner, which could adversely affect our business, financial condition and results of operations.</w:t>
      </w:r>
    </w:p>
    <w:p>
      <w:pPr>
        <w:spacing w:after="0" w:line="16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may further evolve,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regarding those relating to obligations to make social insurance payments and contribute to the housing funds. If we are deemed to have violated relevant labor laws and regulations, we could be required to provide additional compensation to our employees and our business, financial condition and results of operations will be adversely affected.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benefits plans as required by PRC regulations may subject us to penalties.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government-sponsored employee benefit plans, such as social insurance, housing funds, and other welfare-oriented payment obligations, and contribute a percentage of their employees’ salaries, including bonuses and allowances, up to a maximum amount specified by local governments where our employees are based.</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2010, the Standing Committee of the National People’s Congress promulgated the PRC Social Insurance Law, effective on July 1, 2011 and amended on December 29, 2018. On April 3, 1999, the State Council promulgated the Regulations on the Administration of Housing Accumulation Funds, which was amended on March 24, 2019. On January 22, 1999, the State Council promulgated the Interim Regulations on the Collection and Payment of Social Security Funds, which was amended on March 24, 2019. Companies registered and operating in China are required under the Social Insurance Law, the Interim Regulations on the Collection and Payment of Social Security Funds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the implementation of these plans varies among local governments due to different levels of economic development.</w:t>
      </w:r>
    </w:p>
    <w:p>
      <w:pPr>
        <w:spacing w:after="0" w:line="188"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except for the PRC subsidiaries with no employees, all of our PRC subsidiaries have obtained or applied for such registration. Additionally, certain of our PRC subsidiaries historically have not made full social insurance and housing fund contributions for the relevant employees. Moreover, to efficiently manage the contributions to employee benefit plans for our employees in some cities, we engage third-party agents to make these contributions on our behalf; however, such a practice may be deemed as failure to make full social insurance and housing fund contributions for such employees in accordance with applicable PRC laws and regulations by relevant government authorities.</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An employer that has not made social insurance contributions at a rate and based on an amount prescribed by the law, or at all, may be ordered to rectify the non-compliance and pay the required contributions within a stipulated deadline and be subject to a late fee of up to 0.05% per day, as the case may be. If the employer still fails to rectify the failure to make social insurance contributions within the stipulated deadline, it may be subject to a fine ranging from one to three times of the amount overdue. If there is a failure to pay the full amount of housing provident fund as required, the housing provident fund management center may require payment of the outstanding amount within a prescribed timeframe. If the payment is not made within such timeframe, an application may be made to the PRC courts for compulsory enforcement. If we are subject to late fees or fines related to underpaid employee benefits, our financial condition and results of operations may be adversely affected.</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a relevant employee lodges a complaint before the relevant labor authorities or the relevant authorities conduct investigation on us, we may be required to complete relevant registrations, pay the amount in arrears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full and pay late payment fees, and if we fail to do so in a timely manner, we may face penalties. Furthermore, relevant regulatory authority may not recognize the social insurance and housing funds contributions that were paid by third parties on our behalf. If this happens, we may be required to make addition payments or repay these contributions. As of the date of this prospectus, we have not received any notice of material penalties from relevant government authorities nor were we aware of any material employee complaints or disputes regarding social insurance or housing fund contributions. However, we cannot guarantee that we will not receive complaints or demands for social insurance or housing fund contributions from our employees, or that the relevant PRC authorities will not require us to make additional contributions. These circumstances could adversely affect business, financial condition and results of operations.</w:t>
      </w:r>
    </w:p>
    <w:p>
      <w:pPr>
        <w:spacing w:after="0" w:line="293" w:lineRule="exact"/>
        <w:rPr>
          <w:sz w:val="20"/>
          <w:szCs w:val="20"/>
          <w:color w:val="auto"/>
        </w:rPr>
      </w:pPr>
    </w:p>
    <w:p>
      <w:pPr>
        <w:ind w:left="5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used cars sold on our platform and the fees we charge may fluctuate or decline in the future and any material decrease in such price and fees would harm our business, financial condition and results of operations.</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services involve sales of used cars to used car dealers, retail sellers as well as consumers. The ability to locate desirable vehicles at affordable prices are crucial for us to receive revenue from such services. Maintaining and growing our revenues from such services depends on a number of factors, including:</w:t>
      </w:r>
    </w:p>
    <w:p>
      <w:pPr>
        <w:spacing w:after="0" w:line="81"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satisfactory online used car transaction experience to our customers;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maintain offline facilities;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consumers to our platform and offline facilities;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unit price of used cars sold on our platform, which may decrease if we adjust down the price range of used cars available on our platform or enter into lower-tier city markets, or as a result of declining selling prices of new cars;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offer high-quality used cars to consumers;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foster relationships with third-party service providers to provide services through our platform at attractive terms and prices to us and our customers;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other macro-economic changes.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failure to adequately and promptly address any of these risks and uncertainties would materially and adversely affect our business, financial condition and results of operations.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facts, forecast and other statistics in this document obtained from publicly available sources may not be reliable.</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facts, forecast and other statistics in this document are derived from various government and official resources. We believe that the sources of the said information are appropriate sources for such information and have taken reasonable care in extracting and reproducing such information. We have no reason to believe that such information is false or misleading or that any fact has been omitted that would render such information false or misleading. However, we cannot assure our investors that they are stated or compiled on the same basis or with the same degree of accuracy as similar statistics presented elsewhere. In all cases, our investors should consider carefully how much weight or importance should be attached to or placed on such facts or statistics.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may be subject to seasonal fluctuations.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Seasonal fluctuations have affected, and are likely to continue to affect, our business. We generally generate less revenue during Lunar New Year holidays in the first quarter of each year which is typically a low season for used car transactions. We typically generate more revenue in the fourth quarter of a year due to the multiple sales and promotion events as well as marketing campaigns that typically take place around year-end. In addition,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public holidays such as Labor Day and National Day will also have temporary impact on our business. This seasonality has not been immediately apparent historically due to our overall growth. If our growth rates moderate or cease, the impact of these seasonality trends and other influences on our results of operations would become more pronounced. We expect that the seasonal fluctuations will cause our quarterly and annual operating results to fluctuate. If we are unable to offset the effect of seasonality and are not able to generate a steady revenue from our services during the low seasons, our operating results and financial condition will be negatively affected.</w:t>
      </w:r>
    </w:p>
    <w:p>
      <w:pPr>
        <w:spacing w:after="0" w:line="287" w:lineRule="exact"/>
        <w:rPr>
          <w:sz w:val="20"/>
          <w:szCs w:val="20"/>
          <w:color w:val="auto"/>
        </w:rPr>
      </w:pPr>
    </w:p>
    <w:p>
      <w:pPr>
        <w:ind w:left="5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directors and officers, may be involved in legal and/or regulatory proceedings that are expensive and time consuming and, if resolved adversely, that may materially adversely affect us.</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and our directors or officers, may be subject to disputes with various counterparties with which we transact from time to time in the ordinary course of our business, such as service providers, customers, competitors and investors, which may lead to legal proceedings. These proceedings, if and when materialize, could have a material adverse effect on our business, financial condition and results of operations. Claims arising out of actual or alleged violations of law could also be asserted against us by consumers and businesses that utilize our services, by competitors, or by governmental entities in civil or criminal investigations and proceedings or by other entities. These claims could be asserted under a variety of laws, including but not limited to consumer finance laws, product liability laws, consumer protection laws, intellectual property laws, unfair competition laws, privacy laws, labor and employment laws, securities laws, real estate laws, tort laws, contract laws, auction law, property laws and employee benefit laws. We may also be subject to lawsuits due to actions by our third-party financing partners, or third-party providers of various services, including logistics and delivery service, title transfer service, car repair, car inspection equipment, car collateral repossession, and certain data services.</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example, we are subject to ongoing contractual disputes and other proceedings in the PRC. These cases are still ongoing, but we believe the claims are without merit and we will defend ourselves accordingly. We are unable, however, to predict the outcome of these cases, or reasonably estimate a range of possible loss, if any, given the current status of the proceedings. We have not recorded any accrual for expected loss payments with respect to these cases as of December 31, 2021 and 2022 and June 30, 2023 and do not believe that any of the ongoing disputes is material to our overall business operations.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 See “Business—Legal Proceedings.”</w:t>
      </w:r>
    </w:p>
    <w:p>
      <w:pPr>
        <w:spacing w:after="0" w:line="292" w:lineRule="exact"/>
        <w:rPr>
          <w:sz w:val="20"/>
          <w:szCs w:val="20"/>
          <w:color w:val="auto"/>
        </w:rPr>
      </w:pPr>
    </w:p>
    <w:p>
      <w:pPr>
        <w:ind w:left="5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alliances and investments could be costly, difficult to integrate, disrupt our business and adversely affect our results of operations and value of your investment.</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we continue to expand our operations, we have and may in the future enter into strategic alliances or to acquire substantial assets or equities from a pool of candidates that fit our criteria. We are not certain that we will be able to consummate any such transactions in the future or identify those candidates that would result in the most successful combinations, or that future acquisitions will be able to be consummated at reasonable prices and terms. In addition, increased competition for acquisition candidates could result in fewer acquisition opportunities for us and higher acquisition prices. Strategic investments or acquisitions will involve risks commonly encountered in business relationships, including:</w:t>
      </w:r>
    </w:p>
    <w:p>
      <w:pPr>
        <w:spacing w:after="0" w:line="89"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suitable acquisition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with other auction groups or new industry consolidators for suitable acquisitions;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our financial capabilities;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and integrating the operations, personnel, systems, data, technologies and services of the acquired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by, or conflicts of interest with, the parties with whom we enter into investments or alliances;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training, motivating and integrating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resources from our normal daily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successfully incorporating licensed or acquired technology and rights into our platform and services;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uniform standards, controls, procedures and policies within the combined organizations;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relationships with customers, employees and third-party service providers of the acquired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markets in which we have limited or no prior experience;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remaining in good standing with existing regulatory bodies or receiving any necessary pre-closing or post-closing approvals, as well as being subject to new regulators with oversight over an acquired business;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rights or increase our risk for liability;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technology or maintain acquired facilities;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business before the acquisition, including intellectual property infringement claims, violations of laws, commercial disputes, tax liabilities and other known and unknown liabilities;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to our ongoing businesses;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and unknown risks and liabilities associated with strategic investments or acquisitions.</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not make any investments or acquisitions, or any future investments or acquisitions may not be successful, may not benefit our business strategy, may not generate sufficient revenues to offset the associated acquisition costs or may not otherwise result in the intended benefits. In addition, we cannot assure you that any future investment in or acquisition of new businesses or technology will lead to the successful development of new or enhanced services and that any new or enhanced technology or services, if developed or offered, will achieve market acceptance or prove to be profitable. Furthermore, we may fail to identify or secure suitable acquisition, investment and other strategic opportunities, or our competitors may capitalize on such opportunities before we do, which could impair our ability to compete with our competitors and adversely affect our growth prospects and results of operations.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levels of coverage against claims. </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insurance industry in China is still evolving. Insurance companies in China currently offer limited business insurance products and are, to our knowledge, still evolving in the field of business liability insurance. While business disruption insurance is available to a limited extent in China, we have determined that the risks of disruption, cost of such insurance and the difficulties associated with acquiring such insurance on commercially reasonable terms make it impractical for us to have such insurance.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74" w:lineRule="auto"/>
        <w:rPr>
          <w:sz w:val="20"/>
          <w:szCs w:val="20"/>
          <w:color w:val="auto"/>
        </w:rPr>
      </w:pPr>
      <w:r>
        <w:rPr>
          <w:rFonts w:ascii="Times New Roman" w:cs="Times New Roman" w:eastAsia="Times New Roman" w:hAnsi="Times New Roman"/>
          <w:sz w:val="17"/>
          <w:szCs w:val="17"/>
          <w:color w:val="auto"/>
        </w:rPr>
        <w:t>We believe that we maintain insurance that is customary for businesses of our size and type. For instance, our delivery and used car inspection and certification services are equipped with third-party insurance. We have also maintained insurance plan for damage to the vehicles stored at various warehouses.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may harm our business.</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incentives, which may result in increased share-based compensation expenses.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2019, Souche Holdings Ltd adopted the Share Option Plan 2019, or the Souche Incentive Plan for the purpose of granting share-based compensation awards to employees, officers, directors and consultants to incentivize their performance and promote the success of our business. In 2022, in connection with the Restructuring, we adopted a new share option plan, to mirror the Souche Incentive Plan, which was subsequently amended and restated in 2023 (such plan as amended as restated, the “2023 Plan”). The maximum number of shares issuable under the 2023 Plan is 95,487,753, which may be further increased or amended from time to time pursuant to the terms of the 2023 Plan. See “Management—Share Option Plans.” As of the date of this prospectus, we have issued options to acquire 79,479,455 ordinary shares of our company under the 2023 Plan. We have also issued certain warrants as incentives for certain key employees of Yunyang. For details, see “Management—Yunyang Warrants.” As the completion of this offering is a condition to the vesting of these options and warrants, such condition will be met upon the date of the completion of this offering. Therefore, we expect to record a significant amount of cumulative share-based compensation expenses for such options and warrants upon the completion of this offering. Please refer to Note 14 to our audited combined financial statements and Note 10 to our interim condensed combined and consolidated financial statements included elsewhere in this prospectus. If such condition were to have been satisfied as of June 30, 2023, we would have recognized share-based compensation expenses of RMB119.8 million (US$16.5 million) for those options and warrants for which service condition were satisfied as of such date.</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the granting of share-based awards is of significant importance to our ability to attract and retain key personnel and employees, and we will continue to grant share-based awards in the future. As a result, our expenses associated with share-based compensation may increase. We may also record share-based compensation allocated to us based on equity awards granted to our employees under incentive plans, which may cause our share-based compensation to increase. Any increase in our share-based compensation may have an adverse effect on our results of operations. In addition, issuance of ordinary shares underlying the share-based awards will cause you to experience an immediate and substantial dilution to your shareholding.</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risks relating to the real properties that we lease.</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lease real properties from third parties primarily for our office use and warehouses in China, and the lease agreements for all of these leased properties have not been registered with the PRC government authorities as required by PRC law.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those of our lease agreements that have not been registered with the relevant PRC government authorities.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we are not aware of any regulatory or governmental actions, claims or investigations being contemplated or any challenges by third parties to our use of our leased properties the lease agreements of which have not been registered with the government authorities. However, we cannot assure you that the government authorities will not impose fines on us due to our failure to register any of our lease agreements, which may negatively impact our financial condition.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or if any third party challenges our right to use such properties, we may not be able to enforce our rights to lease such properties under the respective lease agreements against the owners. As of the date of this prospectus, we are not aware of any claim or challenge brought by any third parties concerning the use of our leased properties without obtaining proper ownership proof.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interrupted.</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Also, in the event that the actual use of our leased properties is inconsistent with the use registered on the title certificate, it could lead to challenges from the competent authorities, the relevant property owners or other third parties, in which case we could be forced to vacate the relevant properties and seek alternative properties. Furthermore, we may also be forced to vacate the relevant properties and seek alternative properties if we cannot renew our lease agreements in time. Any of such events may adversely affect our business, financial condition and results of operations.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infrastructure and telecommunications networks in China.</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successful operation of our business depends on the performance of the internet infrastructure and telecommunications networks in China. Almost all access to the internet is maintained through state-owned telecommunications operators under the administrative and regulatory supervision of the MIIT. Moreover, we have entered into contracts with various subsidiaries of a limited number of telecommunications service providers at provincial level and rely on them to provide us with data communications capacity through local telecommunications lines. We have limited access to alternative networks or services in the event of disruptions, failures or other problems with China’s internet infrastructure or the telecommunications networks provided by telecommunications service providers. Our platform regularly serves a large number of users. With the expansion of our business, we may be required to upgrade our technology and infrastructure to keep up with the increasing traffic on our platform.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third-party payment processing-related risks.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accept payments through major third-party online payment channels in China, as well as bank transfers and credit cards. We may also be susceptible to fraud, user data leakage and other illegal activities in connection with the various payment methods we offer. In addition, our business depends on the payment and refund systems of the third-party payment service providers to maintain accurate records of payments by customers and collect such payments as well as to handle the corresponding refunds. If the quality, utility, convenience or attractiveness of these payment processing and escrow services declines, or if we have to change the pattern of using these payment services for any reason, the attractiveness of our services could be materially and adversely affected. We are also subject to various rules, regulations and requirements, regulatory or otherwise, governing electronic funds transfers which could change or be reinterpreted to make it difficult for us to comply. If we fail to comply with these rules or requirements, we may be subject to fines and higher transaction fees and become unable to accept the current online payments solutions from our customers, and our business, financial condition and results of operations could be materially and adversely affected. Business involving online payment services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is subject to a number of risks that could materially and adversely affect third-party online payment service providers’ ability to provide payment processing and escrow services to us, including:</w:t>
      </w:r>
    </w:p>
    <w:p>
      <w:pPr>
        <w:spacing w:after="0" w:line="67"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these online payment services or decreased use of their services;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including from other established Chinese internet companies, payment service providers and companies engaged in other financial technology services;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rules or practices applicable to payment systems that link to third-party online payment service providers;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customers’ personal information and concerns over the use and security of information collected from buyers;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system failures or failures to effectively scale the system to handle large and growing transaction volumes;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to third-party online payment service providers, including fees charged by banks to process transactions through online payment channels, which would also increase our costs of revenues;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funds accurately or loss of funds, whether due to employee fraud, security breaches, technical errors or otherwise.</w:t>
      </w:r>
    </w:p>
    <w:p>
      <w:pPr>
        <w:spacing w:after="0" w:line="329" w:lineRule="exact"/>
        <w:rPr>
          <w:sz w:val="20"/>
          <w:szCs w:val="20"/>
          <w:color w:val="auto"/>
        </w:rPr>
      </w:pPr>
    </w:p>
    <w:p>
      <w:pPr>
        <w:ind w:left="56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PRC government and public advocacy groups have been increasingly focused on environment, social and governance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focusing on ESG practices and in recent years have placed increasing importance on the implications and social cost of their investments. Regardless of the industry, increased focus of investors and the PRC government on ESG and similar matters may hinder our access to capital, as investors may decide to reallocate capital or to not commit capital as a result of their assessment of a company’s ESG practices. In addition, any ESG concern or issue could increase our regulatory compliance costs. If we do not adapt to or comply with the evolving expectations and standards on ESG matters from investors and the PRC government or are perceived to have not responded appropriately to the growing concern for ESG issues, regardless of whether there is a legal requirement to do so, we may suffer from reputational damage and the business, financial condition, and the price of our ADSs could be materially and adversely effected.</w:t>
      </w:r>
    </w:p>
    <w:p>
      <w:pPr>
        <w:spacing w:after="0" w:line="298" w:lineRule="exact"/>
        <w:rPr>
          <w:sz w:val="20"/>
          <w:szCs w:val="20"/>
          <w:color w:val="auto"/>
        </w:rPr>
      </w:pPr>
    </w:p>
    <w:p>
      <w:pPr>
        <w:ind w:left="5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key operating metrics to evaluate the performance of our business, and real or perceived inaccuracies in such metrics may harm our reputation and negatively affect our business.</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rely on certain key operating metrics, such as active users, among other things, to evaluate the performance of our business. Our operating metrics may differ from estimates published by third parties or from similarly titled metrics used by other companies due to differences in methodology and assumptions. We calculate these operating metrics using internal company data. There are inherent challenges in measuring such key metrics and company data, and measurement of such metrics and data may be susceptible to delays and technical errors. If we discover material inaccuracies in the operating metrics we use, or if they are perceived to be inaccurate, our reputation may be harmed and our evaluation methods and results may be impaired, which could negatively affect our business. If investors make investment decisions based on operating metrics we disclose that are inaccurate, we may also face potential lawsuits or disputes.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and epidemics, natural disasters, terrorist activities and other disruptions and outbreaks could disrupt our production, delivery, and operations, which could materially and adversely affect our business, financial condition and results of operations.</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Global pandemics, epidemics in China or elsewhere in the world, or fear of the spread of contagious diseases, such as COVID-19, Middle East respiratory syndrome (MERS), Ebola virus disease, severe acute respiratory syndrome (SARS), H1N1 flu, H7N9 flu and avian flu, as well as hurricanes, earthquakes, tsunamis, or other natural disasters could disrupt our business operations, reduce or restrict the ability of our employees as well as car dealers or brokers to provide services, or incur significant costs to protect our employees and facilities. Actual or threatened wars, terrorist activities, and other geopolitical uncertainties and disruptions could have a similar adverse effect on our business, financial condition and results of operations.</w:t>
      </w:r>
    </w:p>
    <w:p>
      <w:pPr>
        <w:spacing w:after="0" w:line="287" w:lineRule="exact"/>
        <w:rPr>
          <w:sz w:val="20"/>
          <w:szCs w:val="20"/>
          <w:color w:val="auto"/>
        </w:rPr>
      </w:pPr>
    </w:p>
    <w:p>
      <w:pPr>
        <w:ind w:left="56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 over financial reporting, we may be unable to accurately report our results of operations, meet our reporting obligations or prevent fraud, and investor confidence and the market price of our ADSs may be materially and adversely affected.</w:t>
      </w:r>
    </w:p>
    <w:p>
      <w:pPr>
        <w:spacing w:after="0" w:line="67"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Prior to this offering, we were a private company with limited accounting and financial reporting personnel and other resources with which to address our internal controls and procedures. Our management has not completed, nor were they required to complete an assessment of the effectiveness of our internal control over financial reporting, and our independent registered public accounting firm has not conducted an audit of our internal control over financial reporting. In the course of preparing and auditing our financial statements as of and for the years ended December 31, 2021 and 2022, we and our independent registered public accounting firm identified one material weakness in our internal control over financial reporting as of December 31, 2022. As defined in the standards established by the U.S. Public Company Accounting Oversight Board, or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material weakness identified relates to the lack of sufficient accounting and financial reporting personnel with requisite knowledge, skills and experience in application of U.S. GAAP and SEC reporting requirements. To remedy our identified material weakness, we have taken measures and plan to continue to take measures to improve our internal control over financial reporting.</w:t>
      </w:r>
    </w:p>
    <w:p>
      <w:pPr>
        <w:spacing w:after="0" w:line="176"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As of June 30, 2023, we had a total of 64 employees in our finance department as well as an internal control team, consisting of four members including a senior director who has prior audit work experience of U.S.-listed companies, that is responsible for overseeing the establishment of the internal control system of our company, the formulation and implementation of internal control process, and the identification and resolution of key issues and risk management relating to internal control. We have hired a financial manager for our finance department with over ten years of prior work experience in finance departments of different enterprises, including work experience in a U.S.-listed company. In addition, we have hired three employees dedicated to the preparation of financial statements and SEC reporting, all of whom have prior work experience in audit firms. We plan to recruit additional employees with strong knowledge and experience in U.S. GAAP accounting and SEC reporting and can assist us in the preparation of financial statements and SEC reporting. We will also continue to provide our accounting and financial reporting staff with extensive training resources, including organizing regular internal training sessions related to U.S. GAAP and SEC reporting matters. In addition to increasing the depth and experience within our accounting and finance team, we plan to adopt additional measures that will improve our internal control over financial reporting, including designing and implementing improved processes and internal controls. For instance, we have planned an assessment of our internal control gaps by specialized consultants, as well as the adoption of processes and corrections of controls arising from this assessment. We expect to complete our assessment by the end of the second quarter of 2025. Furthermore, we also expect to adopt measures to improve internal control over financial reporting, including, among others, (i) creating a U.S. GAAP accounting</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and reporting policies and procedures manual, which will be maintained, reviewed and updated on a regular basis, to latest U.S. GAAP accounting standards; (ii) establishing “tone at the top” entity level controls, including but not limited to an audit committee with at least one qualified financial expert and an internal audit department, with the oversight of the board of directors with proper composition; and (iii) identifying the relevant controls that address the quality of the information generated and used in the performance of key controls supporting the financial statement line items and footnote disclosure.</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Despite the above-mentioned measures, we cannot assure you that our efforts will be effective or prevent any future material weakness or significant deficiency in our internal control over financial reporting. Moreover, while we currently do not expect that the costs to remediate these material weaknesses will adversely affect our business, we may incur additional expenses in future that may adversely affect our business.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implementation of these measures may not fully address the material weakness identified in our internal control over financial reporting, and we may not conclude that it will been fully remedied in the future. Our failure to correct this material weakness or our failure to discover and address any other material weakness could result in inaccuracies in our financial statements and could also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we will become a public company in the United States subject to the Sarbanes-Oxley Act of 2002. Section 404 of the Sarbanes-Oxley Act of 2002, or Section 404, will require that we include a report from management on our internal control over financial reporting in our annual report on Form 20-F beginning with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with an adverse opinion on our internal control over financial reporting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material weaknesses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Corporate Structure</w:t>
      </w:r>
    </w:p>
    <w:p>
      <w:pPr>
        <w:spacing w:after="0" w:line="117" w:lineRule="exact"/>
        <w:rPr>
          <w:sz w:val="20"/>
          <w:szCs w:val="20"/>
          <w:color w:val="auto"/>
        </w:rPr>
      </w:pPr>
    </w:p>
    <w:p>
      <w:pPr>
        <w:ind w:left="560"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interpretation and application of current and future PRC laws, regulations, and rules relating to the agreements that establish the VIE structure for our operations in China, including potential future actions by the PRC government, are still evolving, which could affect the enforceability of our contractual arrangements with the VIEs and, consequently, significantly affect our financial condition and results of operations. If the PRC government considers our contractual arrangements, which are governed by PRC law,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7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Foreign investment in the value-added telecommunications services industry in China is subject to regulation. Pursuant to the list of special management measures for the market entry of foreign investment, or the Negative List, published by the National Development and Reform Commission (NDRC) and the Ministry of Commerce on December 27, 2021 and effective on January 1, 2022, with a few exceptions, foreign investors are generally not allowed to own more than 50% of the equity interests in a value-added telecommunications service provider.</w:t>
      </w:r>
    </w:p>
    <w:p>
      <w:pPr>
        <w:spacing w:after="0" w:line="180"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We are a Cayman Islands company and our wholly owned PRC subsidiaries are currently considered foreign-invested enterprise. Accordingly, neither we nor our wholly owned PRC subsidiaries are eligible to provide value-added telecommunications services in China. To ensure strict compliance with the PRC laws and regulations, we conduct such business activities through the VIEs, namely Hangzhou Souche and Beijing Peak. Hangzhou Dasouche Information Technology Service Co., Ltd. and CheYiPai (Beijing) Automotive Technology Service Co., Ltd. have entered into a series of contractual arrangements with the VIEs and their shareholders, which enable us to (i) conduct business in China through the VIEs, (ii) direct the activities that most significantly affect the economic performance of the VIEs, (iii) receive substantially all of the economic benefits of the VIEs, and</w:t>
      </w:r>
    </w:p>
    <w:p>
      <w:pPr>
        <w:spacing w:after="0" w:line="5" w:lineRule="exact"/>
        <w:rPr>
          <w:sz w:val="20"/>
          <w:szCs w:val="20"/>
          <w:color w:val="auto"/>
        </w:rPr>
      </w:pPr>
    </w:p>
    <w:p>
      <w:pPr>
        <w:jc w:val="both"/>
        <w:ind w:left="120" w:hanging="4"/>
        <w:spacing w:after="0" w:line="253" w:lineRule="auto"/>
        <w:tabs>
          <w:tab w:leader="none" w:pos="4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and assets in the VIEs when and to the extent permitted by PRC law. As a result of these contractual arrangements, we have control over and are the primary beneficiary of the VIEs and hence combine or consolidate their financial results as the VIEs under U.S. GAAP. See “Corporate History and Structure—Contractual Arrangements with the VIEs and Their Shareholders.”</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PRC government considers that our contractual arrangements do not comply with its regulatory requirements on foreign investment in the value-added telecommunications services, or if the PRC government otherwise considers that we or the VIEs are in violation of PRC laws or regulations or lack the necessary permits or licenses to operate our business, the relevant PRC regulatory authorities, including the MIIT and SAIC, would have broad discretion in dealing with such violations or failures, including, without limitation:</w:t>
      </w:r>
    </w:p>
    <w:p>
      <w:pPr>
        <w:spacing w:after="0" w:line="85"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operation through any transactions between our PRC subsidiaries and the VIEs;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PRC subsidiaries or the VIEs, or imposing other requirements with which we or the VIEs may not be able to comply;</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VIEs and deregistering the equity pledges of the VIEs, which in turn would affect our ability to combine, derive economic interests from, or exert effective control over the VIEs;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this offering and our right to collect revenues;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could cause significant disruption to our business operations and severely damage our reputation, which would in turn materially and adversely affect our business, financial condition and results of operations. If occurrences of any of these events result in our inability to direct the activities of the VIEs in China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that most significantly impact its economic performance, and/or our failure to receive the economic benefits from our combined or consolidated variable interest entities, we may not be able to combine and/or consolidate their financial results in our combined and consolidated financial statements in accordance with U.S. GAAP.</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to the best of our knowledge, our contractual arrangements do not violate any applicable PRC laws and regulations currently in force in all material aspects. However, the interpretation and application of current and future PRC laws and regulations are still evolving, thus we cannot preclude the possibility that the PRC regulatory authorities may take a view that is contrary to us. If any of these occurrences results in our inability to direct the activities of the VIEs or our failure to receive the economic benefits from the VIEs and/or our inability to claim our contractual control rights over the assets of the VIEs that conduct substantially all of our operations in China, we may not be able to combine and/or consolidate the entity in our combined and consolidated financial statements in accordance with U.S. GAAP which could materially and adversely affect our financial condition and results of operations and cause our ADSs to significantly decline in value or become worthless.</w:t>
      </w:r>
    </w:p>
    <w:p>
      <w:pPr>
        <w:spacing w:after="0" w:line="293" w:lineRule="exact"/>
        <w:rPr>
          <w:sz w:val="20"/>
          <w:szCs w:val="20"/>
          <w:color w:val="auto"/>
        </w:rPr>
      </w:pPr>
    </w:p>
    <w:p>
      <w:pPr>
        <w:ind w:left="56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VIEs or their shareholders to perform their obligations under our contractual arrangements with them would have a material adverse effect on our business.</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shareholders of the VIEs may breach, or cause the VIEs to breach, or refuse to renew, the existing contractual arrangements. Since PRC laws prohibit or restrict foreign equity ownership in certain kinds of business in China, we have relied and expect to continue to rely on the contractual arrangements with the VIEs and their shareholders to operate our business in China.</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However, these contractual arrangements may not be as effective as equity ownership in providing us with control over our affiliated entities. Any of our affiliated entities, including the VIEs and their shareholders, could breach their contractual arrangements with us by, among other things, failing to conduct their operations in an acceptable manner or taking other actions that are detrimental to our interests. In the event that the shareholders of the VIEs breach the terms of these contractual arrangements and voluntarily liquidate the VIEs, or the VIEs declares bankruptcy and all or part of their assets become subject to liens or rights of third-party creditors, or are otherwise disposed of without our consent, we may be unable to conduct some or all of our business operations or otherwise benefit from the assets held by our affiliated entities, which could have a material adverse effect on our business, financial condition and results of operations.</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Most of the nominee shareholders of the VIEs are also beneficial owners of the Company. The enforceability of the contractual agreements between us, the VIEs and their shareholders depends to a large extent upon whether the VIEs and their shareholders will fulfill these contractual agreements. Their interests in enforcing these contractual agreements may not align with our interests or the interests of our shareholders. If their interest diverges from that of our company and other shareholders, it may potentially increase the risk that they could seek to act contrary to these contractual arrangements. If the VIEs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Our contractual arrangements are governed by PRC law and provide for the resolution of disputes through arbitration in China. Accordingly, these agreements would be interpreted in accordance with PRC law and any disputes would be resolved in accordance with PRC legal procedures. The legal system in the PRC is different from that in some other jurisdictions, such as the United States. As a result, changes and developments in the PRC legal system could limit our ability to enforce these contractual arrangements. Meanwhile, there are few precedents and little formal guidance as to how contractual arrangements in the context of a VIE should be interpreted or enforced under PRC law.</w:t>
      </w:r>
    </w:p>
    <w:p>
      <w:pPr>
        <w:spacing w:after="0" w:line="19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remain uncertainties regarding the ultimate outcome of such adjudication should legal action become necessary. In addition, under PRC law, rulings by arbitrators are final, parties cannot appeal the arbitration results in courts, and if the losing parties fail to carry out the arbitration awards within a prescribed time limit,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prevailing parties may only enforce the arbitration awards in PRC courts,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affiliated entities, and our ability to conduct our business may be negatively affected.</w:t>
      </w:r>
    </w:p>
    <w:p>
      <w:pPr>
        <w:spacing w:after="0" w:line="284" w:lineRule="exact"/>
        <w:rPr>
          <w:sz w:val="20"/>
          <w:szCs w:val="20"/>
          <w:color w:val="auto"/>
        </w:rPr>
      </w:pPr>
    </w:p>
    <w:p>
      <w:pPr>
        <w:ind w:left="5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enacted Foreign Investment Law and how it may impact our business, financial condition and results of operations.</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of the PRC promulgated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enacted Foreign Investment Law does not mention concepts such as “actual control” and “controlling PRC companies by contracts or trusts” that were included in the previous drafts, nor did it specify regulation on controlling through contractual arrangements, and thus this regulatory topic remains subject to further clarification under the Foreign Investment Law. However, since the Foreign Investment Law is relatively new, uncertainties still exist in relation to its interpretation and implementation. For instance, although the Foreign Investment Law does not explicitly classify contractual arrangements as a form of foreign investment, it contains a catch-all provision under the definition of “foreign investment,” which includes investments made by foreign investors in China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Furthermore, if future laws, administrative regulations or provisions prescribed by the State Council require further actions to be taken by companies with respect to existing contractual arrangements, such as unwinding our existing contractual arrangements and/or disposal of our related business operations, we may face uncertainties as to whether we can complete such actions in a timely manner, or at all. Failure to take timely and appropriate measures to cope with any of these or similar regulatory compliance requirements could materially and adversely affect our current corporate structure, corporate governance and business operations.</w:t>
      </w:r>
    </w:p>
    <w:p>
      <w:pPr>
        <w:spacing w:after="0" w:line="297"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shareholders for a large portion of our business operations which may not be as effective as equity ownership in providing operational control.</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primarily have relied and expect to continue to rely on contractual arrangements with the VIEs and their respective shareholders to operate our business in China. For details, see “Corporate History and Structure— Con</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ractual Arrangements with the VIEs and Their Shareholders.” These contractual arrangements may not be as effective as equity ownership in providing us with control over the VIEs. For example, the VIEs and their shareholders could breach their contractual arrangements with us by, among other things, failing to conduct their operations in an acceptable manner or taking other actions that are detrimental to our interests. If we had equity ownership of the VIEs,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shareholders of their respective obligations under the contracts to exercise control over the VIEs. The shareholders of the VIEs may not act in the best interests of our company or may not perform their obligations under these contracts. Such risks exist throughout the period in which we intend to operate certain portions of our business through the contractual arrangements with the VIEs. If any disputes relating to these contracts remain unresolved, we will have to enforce our rights under these contracts through the operations of PRC law and arbitration, litigation and other legal proceedings and there are uncertainties with respect to the enforceability of such rights. Therefore, our contractual arrangements with the VIEs may not be as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in ensuring our control over the relevant portion of our business operations as equity ownership would be.</w:t>
      </w:r>
    </w:p>
    <w:p>
      <w:pPr>
        <w:spacing w:after="0" w:line="329" w:lineRule="exact"/>
        <w:rPr>
          <w:sz w:val="20"/>
          <w:szCs w:val="20"/>
          <w:color w:val="auto"/>
        </w:rPr>
      </w:pPr>
    </w:p>
    <w:p>
      <w:pPr>
        <w:ind w:left="56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actual or potential conflicts of interest with us, which may materially and adversely affect our business and financial condition.</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shareholders of the VIEs of DSC may have actual or potential conflicts of interest with us. These shareholders may refuse to renew or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uncertainty as to the outcome of any such legal proceedings.</w:t>
      </w:r>
    </w:p>
    <w:p>
      <w:pPr>
        <w:spacing w:after="0" w:line="292"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VIEs may be subject to scrutiny by the PRC tax authorities and they may determine that we or the VIEs owe additional taxes, which could negatively affect our financial condition and the value of your investment.</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VIE contractual arrangements were not entered into on an arm’s-length basis in such a way as to result in an impermissible reduction in taxes under applicable PRC laws, rules and regulations, and adjust the income of the VIEs in the form of a transfer pricing adjustment. A transfer pricing adjustment could, among other things, result in a reduction of expense deductions recorded by the VIEs for PRC tax purposes, which could in turn increase its tax liabilities without reducing our PRC subsidiaries’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296" w:lineRule="exact"/>
        <w:rPr>
          <w:sz w:val="20"/>
          <w:szCs w:val="20"/>
          <w:color w:val="auto"/>
        </w:rPr>
      </w:pPr>
    </w:p>
    <w:p>
      <w:pPr>
        <w:ind w:left="5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or otherwise benefit from, the licenses, approvals and assets held by the VIEs, which could severely disrupt our business, render us unable to conduct some or all of our business operations and constrain our growth.</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As part of our contractual arrangements with the VIEs of DSC, the VIEs hold certain assets, licenses and permits that are material to our business operations. The contractual arrangements contain terms that specifically obligate VIEs’ shareholders to ensure the valid existence of the VIEs and restrict the disposal of material assets of the VIEs. However, in the event the VIEs’ shareholders breach the terms of these contractual arrangements and voluntarily liquidate the VIEs, or the VIEs declare bankruptcy and all or part of their assets become subject to liens or rights of third-party creditors, or are otherwise disposed of without our consent, we may be unable to conduct some or all of our business operations or otherwise benefit from the assets held by the VIEs, which could have a material adverse effect on our business, financial condition and results of operations. Furthermore, if any of the VIEs undergoes a voluntary or involuntary liquidation proceeding, its shareholders or unrelated third-party creditors may claim rights to some or all of the assets of such VIE, thereby hindering our ability to operate our business as well as constrain our growth.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ownership and assets of VIEs, the ownership and transfer may subject us to certain limitations and substantial costs.</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According to the Regulations for the Administration of Foreign-Invested Telecommunications Enterprises (the “FITE Regulations”), foreign investors are not allowed to hold more than 50% of the equity interests in a company providing value-added telecommunications services. Consequently, we may be ineligible to operate the VIEs’ value-added telecommunication enterprises directly and may be forced to suspend the operations if the contractual arrangements are considered as invalid, which could materially and adversely affect the business, financial condition and results of operations of us and the VIEs.</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contractual arrangements, our WFOEs or their designated person(s) has the irrevocable and exclusive right to purchase all or any part of the equity interests in the VIEs from their shareholders at any time and from time to time in the WFOEs’ absolute discretion to the extent permitted by PRC laws. The consideration for the equity interests in the VIEs will be the lower of the total capital contribution to the registered capital of the VIEs multiplied by the percentage of equity interests in the VIEs being purchased and the lowest price allowed under PRC law. In the event that the purchase price is higher than RMB1, the shareholders of each of the VIEs agree that any and all proceeds acquired by such shareholders as a result of the exercise of the exclusive right to purchase under this agreement by the respective WFOE or its designee(s) shall be gifted without compensation to such WFOE or, as requested by such WFOE, to its designee(s) in full.</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aforesaid equity transfer may be subject to the approvals from, or filings with, the MIIT, MOFCOM and SAMR and/or their local competent branches. In addition, the equity transfer price may be subject to review and tax adjustment by the relevant tax authorities. The equity transfer price to be received by the VIEs under the contractual arrangements may also be subject to enterprise income tax, and such tax amounts could be substantial. Accordingly, in the event that we exercise the option to acquire equity ownership and/or assets of the VIEs, substantial costs may be incurred, which may adversely and materially affect our and the VIEs’ financial performance.</w:t>
      </w:r>
    </w:p>
    <w:p>
      <w:pPr>
        <w:spacing w:after="0" w:line="287" w:lineRule="exact"/>
        <w:rPr>
          <w:sz w:val="20"/>
          <w:szCs w:val="20"/>
          <w:color w:val="auto"/>
        </w:rPr>
      </w:pPr>
    </w:p>
    <w:p>
      <w:pPr>
        <w:ind w:left="56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investors will have ownership in a holding company that does not directly own all of its operation in China. We rely on our WFOEs and other PRC subsidiaries and the VIEs for the operation in PRC. We also rely on dividends and other payments from our WFOEs and other PRC subsidiaries to pay dividends and other cash distributions to our Shareholders, and any limitation on the ability of our WFOEs and other PRC subsidiaries to pay dividends to us could have a material adverse effect on our ability to pay dividends to our shareholders.</w:t>
      </w:r>
    </w:p>
    <w:p>
      <w:pPr>
        <w:spacing w:after="0" w:line="7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holding company and the investors will have ownership in a holding company that does not directly own all of its operation in China. We rely on our WFOEs and other PRC subsidiaries and the VIEs for the operation in PRC. Any benefits accrued to us because of the VIEs are limited to the conditions we met for combination of the VIEs under U.S. GAAP. Such conditions include that (i) we control the VIEs through power to govern the activities which most significantly impact the VIEs’ economic performance, (ii) we are obligated to absorb losses of the VIEs that could potentially be significant to the VIEs, and (iii) we are entitled to receive benefits from the VIEs that could potentially be significant to the VIEs. We are deemed as the primary beneficiary of the VIEs, and the VIEs are treated as our combined or consolidated affiliated entities for accounting purposes. We rely principally on dividends and other distributions paid by our subsidiaries in China for our cash needs, including paying dividends and other cash distributions to our shareholders, servicing any debt we and the VIEs may incur and paying our and the VIEs’ operating expenses. If the WFOEs and other PRC subsidiaries incur debt on its own behalf in the future, the instruments governing the debt may restrict its ability to pay dividends or make other distributions to us. In addition, the income of the WFOEs in turn depends on the service fees paid by the VIEs and the PRC tax authorities may require us to adjust our taxable income under the contractual arrangements in a manner that would materially and adversely affect its ability to pay dividends and other distributions to us. Current PRC laws and regulations permit our subsidiaries in China to pay dividends to us only out of its retained earnings, if any, determined in accordance with Chinese accounting standards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regulations and the WFOEs and other PRC subsidiaries shall make up its losses of previous years when conducting outward remittance. Under the applicable requirements of PRC laws and regulations, the WFOEs and other PRC subsidiaries are required to set aside at least 10% of its accumulated after-tax profits based on PRC accounting standards each year to fund certain statutory reserves until the accumulated amount of such reserve reaches 50% of its registered capital. At its discretion, the WFOEs and other PRC subsidiaries may allocate a portion of its after-tax profits based on PRC accounting standards to its discretionary reserve fund, or its staff welfare and bonus funds. These reserve funds and staff welfare and bonus funds are not distributable as cash dividends.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17" w:lineRule="exact"/>
        <w:rPr>
          <w:sz w:val="20"/>
          <w:szCs w:val="20"/>
          <w:color w:val="auto"/>
        </w:rPr>
      </w:pPr>
    </w:p>
    <w:p>
      <w:pPr>
        <w:ind w:left="5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financial condition and results of operations.</w:t>
      </w:r>
    </w:p>
    <w:p>
      <w:pPr>
        <w:spacing w:after="0" w:line="5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conduct substantially all of our operations in China and substantially all of our revenue is derived from our operations in China. Accordingly, our results of operations and prospects are, to a significant degree, subject to economic, political and legal developments in China. The economy of China differs from the economies of most developed countries in many respects, including the extent of government participation, its level of development, its growth rate and its regulatory restriction on foreign exchange. The PRC government has implemented measures emphasizing market forces for economic reform and the establishment of sound corporate governance in business enterprises. However, the Chinese regulators have significant authority to regulate the business operations of a China-based company, such as ours, and continue to play a significant role in regulating industry development and have significant influence over China’s economic growth through allocating resources, regulating payment of foreign currency-denominated obligation, setting monetary policies, regulating the inflow and outflow of foreign capital and providing preferential treatment of particular industries or companies.</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global macroeconomic environment faces significant challenges in the near-term future. For example, there is uncertainty about the short and long-term economic impact of the monetary and fiscal policies adopted by the central banks and government authorities of some of the world’s leading economies, including but not limited to China and the United States. There are also concerns about the current and future relationship between China and the United States. Changes in political conditions and in Sino-U.S. relations are difficult to predict and could adversely affect the overall market conditions and consequently our business, operating results and financial condition. Moreover, any tensions in international relations, such as tensions between China and the United States, whether or not related to our business, could cause investors to be unwilling to hold or buy our ADSs and consequently cause the trading price of our ADSs to decline. The various economic and policy measures enacted by the PRC government to bolster China’s economic growth could materially affect our business. Any adverse change in the economic conditions, governmental policies or laws and regulations in China could have a material adverse effect on the general economic condition and our business.</w:t>
      </w:r>
    </w:p>
    <w:p>
      <w:pPr>
        <w:spacing w:after="0" w:line="292" w:lineRule="exact"/>
        <w:rPr>
          <w:sz w:val="20"/>
          <w:szCs w:val="20"/>
          <w:color w:val="auto"/>
        </w:rPr>
      </w:pPr>
    </w:p>
    <w:p>
      <w:pPr>
        <w:ind w:left="5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evolving PRC legal system, including uncertainties regarding the enforcement of laws, and sudden or unexpected changes in laws and regulations in China could adversely affect us and limit the legal protections available to you and us.</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principal operating subsidiaries are incorporated under and governed by the laws of the PRC. The PRC legal system is based on written statutes. Prior court decisions may be cited for reference, but have limited precedential value. In 1979, the PRC government began to promulgate a comprehensive system of laws and regulations governing economic matters in general, such as foreign investment, corporate organization and governance, commerce, taxation and trade. As we conduct substantially all of our business in China, our operations are principally governed by PRC laws and regulations. Since the PRC legal system continues to evolve rapidly, the interpretations and enforcement of many laws, regulations and rules may further change or develop, which could adversely affect us. The PRC regulatory authorities may continue to introduce new laws and regulations from time to time, some of which may not be published on a timely basis or may be published with little advance notice, and our failure to comply with existing or future laws or regulations or timely adapt to the evolving regulatory landscape may adversely affect our business, financial condition and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Evolving laws and regulations could also affect the ability of a China-based company, such as our company, to obtain or maintain permits or licenses required to conduct business in China. In the absence of required permits or licenses, governmental authorities could impose material penalties on us or order us to rectify any non-compliance. In addition, as in regulatory authorities in many other countries, some regulatory requirements issued by certain PRC government authorities may be applied by other PRC government authorities in different manners (including local government authorities), thus making strict compliance with all regulatory requirements challenging. For example, we may have to resort to administrative and court proceedings to enforce the legal protection that we enjoy either by law or contract. However, since the interpretation and implementation of statutory and contractual terms are evolving, it may be difficult to predict the outcome of administrative and court proceedings. Furthermore, the PRC legal system encompasses government policies and administrative rules. New polices and rules may be introduced from time to time and may not be timely published, and existing ones may be modified, from time to time with possible retroactive effect under certain circumstances. We may be found to be in violation of these policies and rules if we fail to timely and effectively adapt ourselves to these regulatory developments. Such potential violations, including potential violations over the scope and effect of our contractual, property (including intellectual property) and procedural rights, could materially and adversely affect our business and impede our ability to continue our operations.</w:t>
      </w:r>
    </w:p>
    <w:p>
      <w:pPr>
        <w:spacing w:after="0" w:line="19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if China adopts more stringent standards with respect to environmental protection or corporate social responsibilities, we may incur increased compliance costs or become subject to additional restrictions in our operations. Intellectual property rights and confidentiality protections in China may also be different from that in other countries. In addition, we cannot predict the effects of future developments in the PRC legal system on our business operations, including the promulgation of new laws, or changes to existing laws or the interpretation or enforcement thereof. These developments could limit the legal protections available to us and our investors, including you. Moreover, any litigation may be time-consuming and result in additional costs and diversion of our resources and management attention.</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PRC government may intervene or influence our operations as the government deems appropriate to further regulatory, political and societal goals. The PRC government has, in recent years, published new policies that significantly affected certain industries, including the internet sector. Recent regulatory developments in China may subject us to additional regulatory review, including the cybersecurity review, and security assessment measures of cross-border transfer of data, expose us to government discretion, or otherwise restrict our ability to offer securities and raise capitals outside China, all of which could materially and adversely affect the business of us and the VIEs and the value of our securities. We cannot rule out the possibility that it will in the future release regulations or policies regarding our industry that could adversely affect our business, financial condition and results of operations. Furthermore, the PRC government has recently indicated an intent to exert more oversight and control over securities offerings and other capital markets activities that are conducted overseas and foreign investment in China-based companies like us. Any such intervention in or influence on our business operations or action to exert more oversight and control over securities offerings and other capital markets activities, once taken by the PRC government, could adversely affect our business, financial condition and results of operations and the value of our Class A ordinary shares or the ADSs, or significantly limit or completely hinder our ability to offer or continue to offer securities to investors and cause the value of such securities to significantly decline or in extreme cases, become worthless.</w:t>
      </w:r>
    </w:p>
    <w:p>
      <w:pPr>
        <w:spacing w:after="0" w:line="294" w:lineRule="exact"/>
        <w:rPr>
          <w:sz w:val="20"/>
          <w:szCs w:val="20"/>
          <w:color w:val="auto"/>
        </w:rPr>
      </w:pPr>
    </w:p>
    <w:p>
      <w:pPr>
        <w:ind w:left="56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or perceived failure by us to comply with the anti-monopoly and competition laws and regulations in the PRC may result in governmental investigations, enforcement actions, litigation or claims against us and could have an adverse effect on business, reputation, results of operations and financial condition.</w:t>
      </w:r>
    </w:p>
    <w:p>
      <w:pPr>
        <w:spacing w:after="0" w:line="6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PRC anti-monopoly regulators have in recent years strengthened enforcement under the anti-monopoly and competition laws and regulations. In March 2018, the SAMR was formed as a new governmental agency to take over, among other things, the anti-monopoly enforcement functions from the relevant departments under the Ministry of Commerce, the NDRC, and the SAIC (the predecessor of the SAMR), respectively. 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November 18, 2021, the State Council inaugurated the National Anti-monopoly Bureau, which aims to further implement the fair competition policies and strengthen anti-monopoly supervision in the PRC, especially to strengthen supervision and law enforcement in areas involving platform economy, innovation, science and technology, information security and people’s well-being.</w:t>
      </w:r>
    </w:p>
    <w:p>
      <w:pPr>
        <w:spacing w:after="0" w:line="176"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PRC anti-monopoly regulators may also issue implementation rules or guidelines from time to time to reinforce their regulation on certain industrial sectors. On September 11, 2020, Anti-monopoly Compliance Guideline for Operators was issued, which requires, under the PRC Anti-monopoly Law, operators to establish antimonopoly compliance management system to prevent anti-monopoly compliance risks. On February 7, 2021, the Anti-monopoly Committee of the State Council published the Anti-Monopoly Guidelines for the Platform Economy Sector, which is aimed at enhancing anti-monopoly administration on businesses that operate under the platform model and the overall platform economy. The Anti-Monopoly Guidelines for the Platform Economy Sector is consistent with the PRC Anti-Monopoly Law and prohibits monopolistic conduct such as entering into monopolistic agreements, abusing market dominance and concentration of undertakings that may have the effect to eliminate or restrict competition in the field of platform economy. More specifically, the Anti-Monopoly Guidelines for the Platform Economy Sector outlines certain practices that may, if without justifiable reasons, constitute abuse of market dominance, including without limitation,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bundled services to sell services, compulsory collection of unnecessary user data. In addition, the Anti-Monopoly Guidelines for the Platform Economy Sector also reinforces antitrust merger review for internet platform related transactions to safeguard market competition.</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on November 15, 2021, the SAMR published the Overseas Anti-monopoly Compliance Guidelines for Enterprises, which is aimed at helping PRC companies establish and strengthen overseas anti-monopoly compliance systems to reduce overseas anti-monopoly compliance risks. The Guidelines applies to both PRC enterprises that conduct business and operation overseas and PRC enterprises that conduct business and operations in the PRC and may have certain impacts on overseas markets, in particular for those that conduct import and export trade, overseas investments, acquisition, transfer or license of intellectual properties and tendering and bidding activities. See “Regulations—Regulations on Anti-Monopoly and Anti-Unfair Competition Laws.”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the aforementioned guidelines were newly promulgated, there remains uncertainties as to how these guidelines will be implemented and whether these guidelines will have a material impact on our business, financial condition, results of operations and prospects. We cannot assure you that our business operations comply with such regulations and authorities’ requirements in all respects. If any non-compliance is raised by relevant authorities and determined against us, we may be subject to fines and other penalties.</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the SCNPC promulgated the amended Anti-Monopoly Law on June 24, 2022, which became effective on August 1, 2022 and increases the fines for illegal concentration of business operators to no more than ten percent of its last year’s sales revenue if the concentration of business operator has or may have an effect of excluding or limiting competitions, or a fine of up to RMB5 million if the concentration of business operator does not have an effect of excluding or limiting competition. The amended Anti-Monopoly Law also requires that the relevant authorities shall investigate a transaction where there is any evidence that the concentration has or may have the effect of eliminating or restricting competitions, even if such concentration does not reach the filing threshold.</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be involved in investigations, inquiries, claims, complaints or other administrative requirements in relation to anti-monopoly and competition laws and regulations in the PRC from time to time, which regulate various potential monopolistic actions or arrangements, such as monopoly agreements, bundling or tie-in sales, unfair pricing practices, imposing unreasonable terms on the counterparties, requiring the operators on the platform to choose “one out of two” competitive platforms, charging additional and unreasonable fees, refusing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to transact with certain counterparties without any reasonable ground, as well as concentrations of undertaking, and these investigations, claims and complaints are subject to the uncertainties associated with the evolving legislative activities and varied local enforcement practices. We are committed to complying with the foregoing laws, regulations and government guidelines and we continuously assess and evaluate our compliance status accordingly.</w:t>
      </w:r>
    </w:p>
    <w:p>
      <w:pPr>
        <w:spacing w:after="0" w:line="158"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case of our failure or perceived failure to comply with these laws and regulations and new legislations or guidelines to be promulgated from time to time, governmental agencies and regulators may, among other things, prohibit or rescind our acquisitions, divestitures, or combinations, impose significant fines or penalties, require divestiture of certain of our assets, or impose other restrictions that limit or require us to modify our operations. It may be costly to adjust some of our business practice in order to comply with these laws, regulations, rules, guidelines and implementations, and any incompliance or associated inquiries, investigations and other governmental actions may divert significant management time and attention and our financial resources, bring negative publicity, subject us to liabilities or administrative penalties, and materially and adversely affect our business, financial condition and results of operations.</w:t>
      </w:r>
    </w:p>
    <w:p>
      <w:pPr>
        <w:spacing w:after="0" w:line="293"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PCAOB is prevented from fully evaluating audits and quality control procedures of our auditor, investors may be deprived of the benefits of such PCAOB inspections.</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public company with securities listed on a national exchange, we will be required to have our financial statements audited by an independent registered public accounting firm registered with the PCAOB. A requirement of being registered with the PCAOB is that if requested by the SEC or PCAOB, such accounting firm is required to make its audits and related audit work papers be subject to regular inspections to assess its compliance with the applicable professional standards.</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If the PCAOB determines in the future that it no longer has full access to inspect and investigate accounting firms headquartered in mainland China and Hong Kong and we continue to use such accounting firm to conduct audit work, investors may be deprived of the benefits of such PCAOB inspections. In addition, we would be identified as a “Commission-Identified Issuer” under the HFCAA following the filing of the annual report for the relevant fiscal year, and if we were so identified for two consecutive years, trading in our securities on U.S. markets would be prohibited under the HFCAA. See “—The Holding Foreign Companies Accountable Act may result in the de-listing of the ADSs. The delisting of our ADSs, or the threat of their being delisted, may materially and adversely affect the value of your investment.”</w:t>
      </w:r>
    </w:p>
    <w:p>
      <w:pPr>
        <w:spacing w:after="0" w:line="294" w:lineRule="exact"/>
        <w:rPr>
          <w:sz w:val="20"/>
          <w:szCs w:val="20"/>
          <w:color w:val="auto"/>
        </w:rPr>
      </w:pPr>
    </w:p>
    <w:p>
      <w:pPr>
        <w:ind w:left="5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Holding Foreign Companies Accountable Act may result in the de-listing of the ADSs. The delisting of our ADSs, or the threat of their being delisted, may materially and adversely affect the value of your investment.</w:t>
      </w:r>
    </w:p>
    <w:p>
      <w:pPr>
        <w:spacing w:after="0" w:line="5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Trading in our securities on U.S. markets, including the Nasdaq, may be prohibited under the HFCAA if PCAOB determines that it is unable to inspect or investigate completely our auditor for two consecutive years. On December 16, 2021, the PCAOB issued the 2021 Determinations notifying the SEC of its determinations that the PCAOB was unable to inspect or investigate completely registered public accounting firms headquartered in mainland China and Hong Kong, including our auditor. On December 15, 2022, the PCAOB announced that 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early 2023 and beyond. The PCAOB is required under the HFCAA to make its determination on an annual basis with regards to its ability to inspect and investigate completely accounting firms based in the mainland China and Hong Kong. The possibility of being a “Commission-Identified Issuer” and the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 Such a delisting or trading prohibition would substantially impair your ability to sell or purchase our ADSs when you wish to do so, and the risk and uncertainty associated with delisting or trading prohibition would have a negative impact on the price of our ADSs. The threatened delisting or trading prohibition would significantly affect our ability to raise capital on terms acceptable to us, or at all, which would have a material adverse impact on our business, financial condition and prospects.</w:t>
      </w:r>
    </w:p>
    <w:p>
      <w:pPr>
        <w:spacing w:after="0" w:line="300" w:lineRule="exact"/>
        <w:rPr>
          <w:sz w:val="20"/>
          <w:szCs w:val="20"/>
          <w:color w:val="auto"/>
        </w:rPr>
      </w:pPr>
    </w:p>
    <w:p>
      <w:pPr>
        <w:ind w:left="5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litigation and negative publicity surrounding China-based companies listed in the United States may negatively impact the trading price of our ADSs.</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recent litigation and negative publicity surrounding companies with operations in China that are listed in the United States have negatively impacted the stock prices of these companies. Certain politicians in the United States have publicly warned investors to shun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 Furthermore, various equity-based research organizations have recently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on us, regardless of its lack of merit, could cause the market price of our ADSs to fall, divert management resources and energy, cause us to incur expenses in defending ourselves against rumors, and increase the premiums we pay for director and officer insurance.</w:t>
      </w:r>
    </w:p>
    <w:p>
      <w:pPr>
        <w:spacing w:after="0" w:line="292" w:lineRule="exact"/>
        <w:rPr>
          <w:sz w:val="20"/>
          <w:szCs w:val="20"/>
          <w:color w:val="auto"/>
        </w:rPr>
      </w:pPr>
    </w:p>
    <w:p>
      <w:pPr>
        <w:ind w:left="56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incompliance with the requirements of the Exchange Act.</w:t>
      </w:r>
    </w:p>
    <w:p>
      <w:pPr>
        <w:spacing w:after="0" w:line="2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the SEC requirements could ultimately lead to the delisting of the ADSs from the Nasdaq or the termination of the registration of our Class A ordinary shares under the Securities Exchange Act of 1934, or both, which would substantially reduce or effectively terminate the trading of the ADSs in the United States.</w:t>
      </w:r>
    </w:p>
    <w:p>
      <w:pPr>
        <w:spacing w:after="0" w:line="296" w:lineRule="exact"/>
        <w:rPr>
          <w:sz w:val="20"/>
          <w:szCs w:val="20"/>
          <w:color w:val="auto"/>
        </w:rPr>
      </w:pPr>
    </w:p>
    <w:p>
      <w:pPr>
        <w:jc w:val="both"/>
        <w:ind w:left="5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susceptible to changes in government policies, including policies on automobile purchases, ownership, taxation, vehicle title transfers, and used car transactions across regions and provinces. Failure to adequately respond to such changes could adversely affect our business.</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Government policies on automobile purchases and ownership may have a material impact on our business due to their influence on consumer behaviors. Since 2009, the PRC government has changed the vehicle purchase tax on automobiles with 1.6 liter or smaller engines several times. In addition, in August 2014, several PRC governmental authorities jointly announced that from September 2014 to December 2017, purchases of new energy automobiles designated on certain catalogs will be exempted from vehicle purchase taxes. In April 2015, several PRC governmental authorities also jointly announced that from 2016 to 2020, purchasers of new energy automobiles designated on certain catalogs will enjoy subsidies. In December 2016, relevant PRC governmental authorities further adjusted the subsidy policy for new energy automobiles. We cannot predict whether government subsidies will remain in the future or whether similar incentives will be introduced, and if they are, their impact on automobile retail transactions in China. It is possible that automobile retail transactions may decline significantly upon expiration of the existing government subsidies if consumers have become used to such incentives and postpone purchase decisions in the absence of new incentives. If automobile retail transactions indeed decline, our revenues and results of operations may be materially and adversely affected.</w:t>
      </w:r>
    </w:p>
    <w:p>
      <w:pPr>
        <w:spacing w:after="0" w:line="19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Atmospheric Pollution Prevention and Control Law of the People’s Republic of China, as amended on October 26, 2018, advocates reasonable control over the number of fuel vehicles in accordance with urban planning. Some local governmental authorities issued regulations and implementation rules in order to control urban traffic and the number of automobiles within particular urban areas. For example, Beijing municipal authorities adopted regulations and implementing rules in December 2010 to limit the total number of license plates issued to new automobile purchases in Beijing each year. Guangzhou municipal authorities also announced similar regulations, which came into effect in July 2013. There are similar policies that restrict the issuance of new automobile license plates in Shanghai, Tianjin, Hangzhou, Guiyang and Shenzhen. In September 2013, the State Council released a plan for the prevention and remediation of air pollution, which requires large cities, such as Beijing, Shanghai and Guangzhou, to further restrict the number of motor vehicles. In September 2013, the Beijing government issued an additional regulation to limit the total number of vehicles in Beijing to no more than six million by the end of 2017. In addition to the quantity control of automobiles, some local governmental authorities have also adopted environmental protection policies and regulations in recent years, pursuant to which an automobile, failing to meet certain environmental protection requirements or standards, will not be able to obtain the license plate issued by relevant local governmental authorities. As some used cars cannot meet the environmental protection standards required in some regions, the above policies and regulations may restrict or adversely impact the transactions of such used cars.</w:t>
      </w:r>
    </w:p>
    <w:p>
      <w:pPr>
        <w:spacing w:after="0" w:line="18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Circular on Improving the Filing of Used Automobiles Market Entities and the Administration of Automobiles Transactions Registration promulgated by the MOFCOM and the MPS on September 6, 2022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the Circular on Measures to Enliven Automobile Trading and Expand Automobile Consumption promulgated by the general offices of 17 departments including the MOFCOM on July 5, 2022 set forth the measures to improve the supervision of used automobiles markets, including but not limited to the restrictions on the used cars transactions of individuals that took effect on January 1, 2023, and the filing requirements of the operators of automobiles markets as well as the seller of used automobiles that took effect on October 1, 2022. Sellers of used automobiles such as the car dealers and retailers may fail to adequately respond to such measures, and such policies and regulations may restrict or adversely affect the transactions of such used cars. Such regulatory developments, as well as other uncertainties, may affect the growth prospects of China’s automobile industry, which in turn may have a material adverse impact on our business.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enforcement of stricter advertisement laws and regulations in the PRC may adversely affect our business and our profitability.</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PRC advertising laws and regulations, we are obligated to monitor the advertising content shown on our platform to ensure that such content is true and accurate and in compliance with applicable PRC laws and regulations. If advertisements shown on our platform are in violation of relevant PRC advertising laws and regulations, we may be subject to penalties, including fines, confiscation of advertising income, orders to cease dissemination of the advertisements and orders for rectification. The Chinese government may from time to time promulgate new advertising laws and regulations, including possible additional restrictions on online advertising services, and these restrictions may relate to, among other attributes, the content, placement and appearance of advertisements. We cannot assure you that the advertisement we publish in the future will not be subject to further penalties. And any such penalties may disrupt our business and our competition with competitors, which could affect our results of operations and financial conditions.</w:t>
      </w:r>
    </w:p>
    <w:p>
      <w:pPr>
        <w:spacing w:after="0" w:line="296"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Heightened tensions in international relations, particularly between China and the United States, may adversely affect our business, financial condition and results of operations.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Recently there have been changes in international trade policies and rising political tensions, particularly between the U.S. and China, but also as a result of the war in Ukraine and sanctions on Russia. The U.S. government has made statements and taken certain actions that may lead to potential changes to U.S. and international trade policies towards China. While the “Phase One” agreement was signed between China and the United States on trade matters in January 2020, it remains unclear what additional actions, if any, will be taken by the U.S. or other governments with respect to international trade, tax policy related to international commerce, or other trade matters. In addition, China has implemented measures in response to new trade policies, treaties and tariffs initiated by the U.S. government. The situation is further complicated by the political tensions between China and the United States that escalated during the COVID-19 pandemic and in the wake of the PRC National People’s Congress’ decision on Hong Kong national security legislation, sanctions imposed by the U.S. Department of Treasury on certain officials of the Hong Kong Special Administrative Region and the central government of the PRC and the executive orders issued by U.S. President in August 2020 that prohibit certain transactions with certain China-based companies and their respective subsidiaries. Rising trade and political tensions could reduce levels of trades, investments, technological exchanges and other economic activities between China and other countries, which would have an adverse effect on global economic conditions, the stability of global financial markets, and international trade policies. It could also adversely affect the financial and economic conditions in the jurisdictions in which we operate, as well as our overseas expansion, our financial condition and results of operations.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While cross-border business currently may not be an area of our focus, if we plan to expand our business internationally in the future or list imported vehicles and other products on our platforms, any unfavorable government policies on international trade, such as regulatory restrictions on capital flows or tariffs, may affect the consumer demands, our ability to provide certain services on our platforms or our ability to provide services in certain countries. In particular, if any new tariffs, legislation and/or regulations are implemented, or if existing trade agreements are renegotiated or, especially, if the U.S. government takes retaliatory trade actions due to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recent U.S.-China trade and political tension, such changes could have an adverse effect on our business, financial condition and results of operations. In addition, our results of operations could be adversely affected if any such tensions or unfavorable government trade policies harm the Chinese economy or the global economy in general.</w:t>
      </w:r>
    </w:p>
    <w:p>
      <w:pPr>
        <w:spacing w:after="0" w:line="280" w:lineRule="exact"/>
        <w:rPr>
          <w:sz w:val="20"/>
          <w:szCs w:val="20"/>
          <w:color w:val="auto"/>
        </w:rPr>
      </w:pPr>
    </w:p>
    <w:p>
      <w:pPr>
        <w:ind w:left="5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We conduct substantially all of our operations in China. In addition, all our senior executive officers reside within China for a significant portion of the time and all of them are PRC nationals or Hong Kong residents. As a result, it may be complex and costly for our shareholders to effect service of process upon us or those persons inside China.</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basically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written treaties providing for the reciprocal recognition and enforcement of judgments of courts with the United States, the Cayman Islands or some other countries and regions. Therefore, it is uncertain whether the judgment of a court in any of these non-PRC jurisdictions in relation to any matter not subject to a binding arbitration provision can be recognized or enforced.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as well as the corresponding foreign judgments on such claims, generally are difficult to pursue and enforce as a matter of law or practicality in many emerging markets, including China. As a result of all of the above, you may have more difficulties in protecting your interests in your emerging market investments.</w:t>
      </w:r>
    </w:p>
    <w:p>
      <w:pPr>
        <w:spacing w:after="0" w:line="292" w:lineRule="exact"/>
        <w:rPr>
          <w:sz w:val="20"/>
          <w:szCs w:val="20"/>
          <w:color w:val="auto"/>
        </w:rPr>
      </w:pPr>
    </w:p>
    <w:p>
      <w:pPr>
        <w:jc w:val="both"/>
        <w:ind w:left="56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6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holding company and we rely principally on dividends and other distributions on equity from our PRC subsidiaries for our cash and financing requirements, including the funds necessary to pay dividends and other cash distributions to our shareholders and services of any debt we may incur. Our PRC subsidiaries’ ability to distribute dividends is based upon its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its registered capital. These reserves are not distributable as cash dividends. Furthermore, any declaration and payment of dividend shall comply with relevant articles or partnership agreement of such PRC subsidiaries. If our PRC subsidiaries incur debt on their own behalf in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the instruments governing the debt may impose limitations on their ability to pay dividends or make other payments to us.</w:t>
      </w:r>
    </w:p>
    <w:p>
      <w:pPr>
        <w:spacing w:after="0" w:line="22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To stabilize capital flows and RMB’s exchange ratio, the People’s Bank of China and the State Administration of Foreign Exchange, or SAFE, have implemented a series of restrictions upon capital flows, including relevant restrictions and procedural requirements for China-based companies to remit foreign currency for overseas acquisitions, dividend payments and shareholder loan repayments. For instance, the People’s Bank of China issued the Circular on Further Clarification of Relevant Matters Relating to Offshore RMB Loans Provided by Domestic Enterprises, or PBOC Circular 306, on November 26, 2016, which provides that offshore RMB loans provided by a domestic enterprise to offshore enterprises with which it has an equity relationship shall not exceed 30% of the domestic enterprise’s most recent audited owner’s equity. PBOC Circular 306 may affect our PRC subsidiaries’ ability to provide offshore loans to us. The PRC government may strengthen such regulatory restrictions on capital flows from time to time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9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at a rate of 10% will be applicable to dividends payable by Chinese companies to non-PRC resident enterprises unless reduced under treaties or arrangements between the PRC central government and governments of other countries or regions where the non-PRC resident enterprises are tax resident.</w:t>
      </w:r>
    </w:p>
    <w:p>
      <w:pPr>
        <w:spacing w:after="0" w:line="280"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corporate chops and seals may fail to fulfill their responsibilities, or misappropriate or misuse these assets.</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PRC law, legal documents for corporate transactions, including agreements and contracts, are executed using the chop or seal of the signing entity or with the signature of a legal representative whose designation is registered and filed with SAMR. A company chop or seal may serve as the legal representation of the company towards third parties even when unaccompanied by a signature.</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We may have to take corporate or legal action, which could involve time and resources to resolve and divert management from our operations.</w:t>
      </w:r>
    </w:p>
    <w:p>
      <w:pPr>
        <w:spacing w:after="0" w:line="287" w:lineRule="exact"/>
        <w:rPr>
          <w:sz w:val="20"/>
          <w:szCs w:val="20"/>
          <w:color w:val="auto"/>
        </w:rPr>
      </w:pPr>
    </w:p>
    <w:p>
      <w:pPr>
        <w:ind w:left="56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w:t>
      </w:r>
    </w:p>
    <w:p>
      <w:pPr>
        <w:spacing w:after="0" w:line="6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or FIEs, in China, capital contributions to our PRC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subsidiaries are subject to registration with SAMR or its local counterpart and registration with a local bank authorized by SAFE. In addition, (i) any foreign loan procured by our PRC subsidiaries is required to be registered with SAFE or its local branches and (ii) any of our PRC subsidiaries may not procure loans which exceed the difference between its total investment amount and registered capital or, as an alternative, they may only procure loans subject to the calculation approach and limitation as provided by the People’s Bank of China.</w:t>
      </w:r>
    </w:p>
    <w:p>
      <w:pPr>
        <w:spacing w:after="0" w:line="180"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March 30, 2015, the SAFE promulgated the Circular on Reforming the Management Approach Regarding the Foreign Exchange Capital Settlement of Foreign-Invested Enterprises, or SAFE Circular 19, which took effect as of June 1, 2015.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providing entrusted loans or repaying loans between nonfinancial enterprises. The SAFE issued the Circular on Reforming and Regulating Policies on the Control over Foreign Exchange Settlement of Capital Accounts, or SAFE Circular 16, effective on June 9, 2016. Pursuant to SAFE Circular 16, enterprises registered in China may also convert their foreign debts from foreign currency to Renminbi on a self-discretionary basis. SAFE Circular 16 provides an integrated standard for conversion of foreign exchange under capital account items (including, but not limited, to foreign currency capital and foreign debts) on a self-discretionary basis which applies to all enterprises registered in China.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On October 23, 2019, SAFE further issued the Circular of the State Administration of Foreign Exchange on Further Promoting the Facilitation of Cross-Border Trade and Investment, or the Circular 28, which took effect on the same day. Circular 28 allows non-investment foreign-invested enterprises to use their capital funds to make equity investments in China as long as such investments do not violate then effective negative list for foreign investments and the target investment projects are genuine and in compliance with laws.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 On April 10, 2020, the SAFE promulgated the Circular of SAFE on Optimizing Foreign Exchange Administration to Support the Development of Foreign-related Business, or the SAFE Circular 8, the reform of facilitating the payments of incomes under the capital accounts shall be promoted nationwide. As this circular is relatively new, there remains uncertainty as to its interpretation and application and any other future foreign exchange-related rules. Violations of these circulars could result in severe monetary or other penalties.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an adverse effect on our results of operations and the value of your investment.</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societal and economic conditions in China and by China’s foreign exchange policies. Since June 2010, the Renminbi has fluctuated against the U.S. dollar, at times significantly and unpredictably. Since October 1, 2016, Renminbi has joined the International Monetary Fund’s basket of currencies that make up the Special Drawing Right (SDR)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8"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adverse effect on your investment. All of our revenues and costs are denominated in Renminbi. Any significant revaluation of Renminbi may adversely affect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our revenues, earnings and financial position, and the value of, and any dividends payable on, the ADSs in U.S. dollars. To the extent that we need to convert U.S. dollars into Renminbi for capital expenditures and working capital and other business purposes,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the ADSs, and if we decide to convert RMB into U.S. dollars for the purpose of making payments for dividends on our Class A ordinary shares or ADSs, strategic acquisitions or investments or other business purposes, appreciation of the U.S. dollar against the RMB would have a negative effect on the U.S. dollar amount available to us.</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Relatively limited hedging options are available in China to reduce our exposure to exchange rate fluctuations. To date, we have not entered into any hedging transactions in an effort to reduce our exposure to foreign currency exchange risk. While we may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Regulatory restrictions on currency conversion may limit our ability to utilize our revenues effectively and affect the value of your investment.</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PRC government imposes regulatory restrictions on the convertibility of the Renminbi into foreign currencies and, in certain cases, the remittance of currency out of China, and requires approval or registration in accordance with regulatory requirements. We receive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foreign loans or additional equity investment denominated in a foreign currency flowed into mainland China, and where Renminbi is to be converted into foreign currency and remitted out of China to pay capital expenses such as the repayment of loans denominated in foreign currencies. As a result, we need to obtain SAFE approval or registration (some of which are now processed by commercial banks under the supervision of SAFE) to provide foreign capital to our PRC operations either as foreign loans to or as additional capital investments in our PRC subsidiaries, or to use cash generated from the operations of our PRC subsidiaries to pay off their respective debt in a currency other than Renminbi owed to entities outside China, or to make other capital expenditure payments outside China in a currency other than Renminbi. The PRC government may further restrict access to foreign currencies for current account transactions in the future. If the foreign exchange regulatory system prevents us from obtaining sufficient foreign currencies to satisfy our demands, or from effectively utilizing our capital denominated in a foreign currency for the purpose of our PRC operations, we would encounter difficulty in funding our operations, which may adversely affect our business, results of operations and financial condition. Furthermore, we may not be able to pay dividends in foreign currencies to our shareholders, including holders of the ADSs.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make it more difficult for us to pursue growth through acquisitions.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Among other things, Provisions on Merger and Acquisition of Domestic Enterprises by Foreign Investors, or the M&amp;A Rules, adopted by six PRC regulatory agencies in 2006 and amended in 2009, establish additional procedures and requirements on merger and acquisition activities by foreign investors. Such regulation requires, among other things, that the PRC Ministry of Commerce, or the MOFCOM, under certain circumstances,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notified in advance of any change-of-control transaction in which a foreign investor takes control of an affiliated PRC domestic enterprise. Moreover, the Anti-Monopoly Law promulgated by the Standing Committee of the National People’s Congress of China, which was original effective in 2008 and later amended on June 24, 2022 and effective since August 1, 2022, requires that transactions which are deemed concentrations and involve parties with specified turnover thresholds to be cleared by the relevant anti-monopoly authority before they can be completed. In addition, Measures for the Security Review of Foreign Investment promulgated by the NDRC, and the MOFCOM in December 2020 specify that in respect of foreign investments in military, national defense-related areas or in locations in proximity to military facilities, or foreign investments that would result in obtaining actual control of enterprises in certain key sectors, such as critical agricultural products, energy and resources, equipment manufacturing, infrastructure, transportation, cultural products and services, information technology, internet products and services, financial services and technology sectors, the foreign investor or the counterpart in China in relation to the foregoing foreign investments is required to proactively report to the designated governmental authorities in advance of the investment and shall not commence the foreign investments until the governmental authorities make a determination on whether to initiate a security review.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and the SAMR, may delay or inhibit our ability to complete such transactions, which could affect our ability to expand our business or maintain our market share.</w:t>
      </w:r>
    </w:p>
    <w:p>
      <w:pPr>
        <w:spacing w:after="0" w:line="301" w:lineRule="exact"/>
        <w:rPr>
          <w:sz w:val="20"/>
          <w:szCs w:val="20"/>
          <w:color w:val="auto"/>
        </w:rPr>
      </w:pPr>
    </w:p>
    <w:p>
      <w:pPr>
        <w:ind w:left="56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SAFE issued Circular on Several Issues Concerning Foreign Exchange Administration for Domestic Residents to Engage in Financing and in Return Investments via Overseas Special Purpose Companies, or SAFE Circular 75, on October 21, 2005, which became effective on November 1, 2005. Under SAFE Circular 75, prior registration with the local SAFE branch is required for PRC residents to establish or to control an offshore company for the purposes of financing that offshore company with assets or equity interests in an onshore enterprise located in the PRC. 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to register with SAFE or its local branches in connection with their establishment or control of an offshore entity established for the purpose of overseas investment or financing with such PRC residents’ legally owned assets or equity interests in domestic enterprises or offshore assets or interests. The term “control” under SAFE Circular 37 is broadly defined as the operation rights, beneficiary rights or decision-making rights acquired by PRC residents in the offshore special purpose vehicles, or SPVs, by means of acquisition, trust, proxy, voting rights, repurchase, convertible bonds or other arrangements. SAFE Circular 37 is applicable to our shareholders who are PRC residents and may be applicable to any offshore acquisitions that we make in the future. See “Regulation—Regulations relating to Foreign Exchange Control—Regulations on Foreign Exchange Registration of Overseas Investment by PRC Residents.” In addition, such PRC residents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If any PRC shareholder of such SPVs fails to make the required registration or to update the previously filed registration, the subsidiary of such SPVs in China may be prohibited from distributing theirs profits or the proceeds from any capital reduction, share transfer or liquidation to the SPVs, and the SPVs may also be prohibited from making additional capital contributions into their subsidiary in China.</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cannot guarantee that all of our shareholders or beneficial owners who are residents of the PRC have complied with the relevant registrations or approvals required by the SAFE regulations or will do so in the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For instance, due to evolving interpretations surrounding the application of SAFE Circular 37, as of the date of this prospectus, to our best knowledge, two individuals who are our current beneficial owners and PRC residents have not updated their SAFE registrations to reflect changes in their offshore interests, and two other individuals who are our current beneficial owners have not completed the initial SAFE registration. Any failure by these shareholders or beneficial owners to comply with SAFE regulations, or any failure by us to update the foreign exchange registrations of our PRC subsidiaries, may result in fines or legal sanctions against us, limit our overseas or cross-border investment activities, impact our ability to receive distributions or dividends from our PRC subsidiaries, or affect our ownership structure. Such outcomes could have an adverse effect on our business and prospects.</w:t>
      </w:r>
    </w:p>
    <w:p>
      <w:pPr>
        <w:spacing w:after="0" w:line="189"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requested shareholders or beneficial owners who directly or indirectly hold shares in our Cayman Islands holding company and are known to us as being PRC residents to complete the foreign exchange registrations. However, we may not be informed of the identities of all the PRC individuals or entities holding direct or indirect interest in our company, nor can we compel our beneficial owners to comply with the applicable registration requirements under SAFE regulations. As a result, we cannot assure you that all of our shareholders or beneficial owners who are PRC residents have complied with, and will in the future make, obtain or update any applicable registrations or approvals required by SAFE regulations. To our best knowledge, as of the date of this prospectus, one legal entity as a beneficial owner of our company has not completed the necessary foreign exchange registration with SAFE in connection with its oversea investments in our company. Any failure or inability by such shareholders, beneficial owners or our subsidiaries to comply with SAFE regulations may subject us to fines or legal sanctions, such as restrictions on our cross-border investment activities or our PRC subsidiary’s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296" w:lineRule="exact"/>
        <w:rPr>
          <w:sz w:val="20"/>
          <w:szCs w:val="20"/>
          <w:color w:val="auto"/>
        </w:rPr>
      </w:pPr>
    </w:p>
    <w:p>
      <w:pPr>
        <w:ind w:left="5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February 2012, SAFE promulgated the Notices on Issues Concerning the Foreign Exchange Administration for Domestic Individuals Participating in Stock Incentive Plan of Overseas Publicly Listed Company, or SAFE Circular 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overseas-listed company upon the completion of this offering. Failure to complete the SAFE registrations may subject them to fines and legal sanctions, and there may be additional restrictions on the ability of them to exercise their stock options or remit proceeds gained from sale of their stock into the PRC. In addition, relevant laws and regulations and their interpretation may change from time to time and there is uncertainty with respect to their implementation, which may restrict our ability to adopt additional incentive plans for our directors, executive officers and employees under PRC law. See “Regulation—Regulations relating to Foreign Exchange Control—Regulations on Stock Incentive Plans.”</w:t>
      </w:r>
    </w:p>
    <w:p>
      <w:pPr>
        <w:spacing w:after="0" w:line="19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the State Administration of Taxation, or SAT, has issued circulars concerning employee share options or restricted shares. Under these circulars, employees working in the PRC who exercise share options, or whose restricted shares or restricted share units vest, will be subject to PRC individual income tax. Our PRC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subsidiaries have obligations to file documents related to employee share options or restricted shares with relevant tax authorities and to withhold individual income taxes of those employees related to their share options, restricted shares or restricted share units. In addition, the sales of the ADSs or shares held by such PRC individual employees after their exercise of the options, or the vesting of the restricted shares or restricted share units, are also subject to PRC individual income tax. If the employees fail to pay, or the PRC subsidiaries fail to withhold, their income taxes according to relevant laws, rules and regulations, the PRC subsidiaries may face sanctions imposed by the tax authorities or other PRC government authorities.</w:t>
      </w:r>
    </w:p>
    <w:p>
      <w:pPr>
        <w:spacing w:after="0" w:line="287" w:lineRule="exact"/>
        <w:rPr>
          <w:sz w:val="20"/>
          <w:szCs w:val="20"/>
          <w:color w:val="auto"/>
        </w:rPr>
      </w:pPr>
    </w:p>
    <w:p>
      <w:pPr>
        <w:ind w:left="5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Notice of the State Administration of Taxation on Issues Concerning the Determination of Chinese-Controlled Enterprises Registered Overseas as Resident Enterprises on the Basis of Their Bodies of Actual Management, known as SAT Circular 82, and was amended on 2017,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senior management and core management departments in charge of its daily operations function have their presence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not less than half of the enterprise’s directors or senior management with voting rights habitually reside in the PRC. Further to SAT Circular 82, the SAT issued the Public Announcement of State Administration of Taxation on Promulgation of the Administrative Measures on Income Tax on Overseas Registered Chinese-funded Holding Resident Enterprises (Trial Implementation), or SAT Bulletin 45, which took effect in September 2011 and last amended on June 2018, to provide more guidance on the implementation of SAT Circular 82. SAT Bulletin 45 provides for procedures and administration details of determination on resident status and administration on post-determination matters.</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is a PRC resident enterprise for enterprise income tax purposes, we will be subject to PRC enterprise income on our worldwide income at the rate of 25%. Furthermore, we will be required to withhold a 10% withholding tax from dividends we pay to our shareholders (including our ADS holders) that are non-resident enterprises. In addition, non-resident enterprise shareholders (including our ADS holders) may be subject to PRC tax at a rate of 10% on gains realized on the sale or other disposition of ADSs or Class A ordinary shares, if such gain is treated as derived from a PRC source. Furthermore, if we are deemed a PRC resident enterprise, dividends paid to our non-PRC individual shareholders (including our ADS holders) and any gain realized on the sale or other disposition of ADSs or Class A ordinary shares by such shareholders (including ADS holders) may be subject to PRC tax at a rate of 20% (which in the case of dividends may be withheld at source). These rates may be reduced by an applicable tax treaty, but it is unclear whether non-PRC shareholders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(including ADS holders) of our company would, in practice, be able to obtain the benefits of any tax treaties between their country of tax residence and the PRC in the event that we are treated as a PRC resident enterprise. Any such tax may reduce the returns on your investment in the ADSs or Class A ordinary shares.</w:t>
      </w:r>
    </w:p>
    <w:p>
      <w:pPr>
        <w:spacing w:after="0" w:line="280" w:lineRule="exact"/>
        <w:rPr>
          <w:sz w:val="20"/>
          <w:szCs w:val="20"/>
          <w:color w:val="auto"/>
        </w:rPr>
      </w:pPr>
    </w:p>
    <w:p>
      <w:pPr>
        <w:ind w:left="5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held liable for non-compliance with applicable rules and regulations concerning indirect transfers of equity interests in PRC resident enterprises by their non-PRC holding companies.</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securities through a public securities market. SAT Bulletin 7 also brings challenges to both foreign transferor and transferee (or other person who is obligated to pay for the transfer) of taxable assets.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October 17, 2017, the SAT issued the Public Notice on Issues Relating to Withholding at Source of Income Tax of Non-resident Enterprises, or SAT Bulletin 37, which came into effect on December 1, 2017. The SAT Bulletin 37 further clarifies the practice and procedure of the withholding of non-resident enterprise income tax.</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be held liable for non-compliance with applicable rules and regulations concerning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bulletins, or to establish that our company should not be taxed under these bulletins, which may have a material adverse effect on our financial condition and results of operations.</w:t>
      </w:r>
    </w:p>
    <w:p>
      <w:pPr>
        <w:spacing w:after="0" w:line="296" w:lineRule="exact"/>
        <w:rPr>
          <w:sz w:val="20"/>
          <w:szCs w:val="20"/>
          <w:color w:val="auto"/>
        </w:rPr>
      </w:pPr>
    </w:p>
    <w:p>
      <w:pPr>
        <w:ind w:left="5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of information disseminated over the internet in China may adversely affect our business and reputation and subject us to liability for information displayed on our website.</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held liable for such information displayed on or linked to the websites. If our online platform or the content on such platform is found to be in violation of any such requirements, we may be penalized by relevant authorities, and our operations or reputation could be adversely affected.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China.</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Due to differences in laws and regulations between China and the United States, shareholder claims or regulatory investigation that are common in the United States may be difficult to pursue and enforce as a matter of law or practicality in China. For example, in China, there are legal and other challenges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was last amended in December 2019 and became effective in March 2020, no overseas securities regulator is allowed to directly conduct investigation or evidence collection activities within the territory of the PRC. The inability for an overseas securities regulator to directly conduct investigation or evidence collection activities within China may further increase difficulties faced by you in protecting your interests.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ADSs and this Offering</w:t>
      </w:r>
    </w:p>
    <w:p>
      <w:pPr>
        <w:spacing w:after="0" w:line="117" w:lineRule="exact"/>
        <w:rPr>
          <w:sz w:val="20"/>
          <w:szCs w:val="20"/>
          <w:color w:val="auto"/>
        </w:rPr>
      </w:pPr>
    </w:p>
    <w:p>
      <w:pPr>
        <w:ind w:left="56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ordinary shares or the ADSs may not develop and the trading price for the ADSs may fluctuate significantly.</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apply to list our ADSs on Nasdaq.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was determined by negotiation between us and the underwriters based upon several factors, and we can provide no assurance that the trading price of the ADSs after this offering will not decline below the initial public offering price. As a result, investors in our securities may experience a significant decrease in the value of their ADSs.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additional costs as a result of being a public company, particularly after we cease to qualify as an emerging growth company.</w:t>
      </w:r>
    </w:p>
    <w:p>
      <w:pPr>
        <w:spacing w:after="0" w:line="121"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Upon completion of this offering, we will become a public company and expect to incur significant legal, accounting and other expenses that we did not incur as a private company. These additional costs could negatively affect our financial results. In addition, changing laws, regulations and standards relating to corporate governance and public disclosure, including regulations implemented by the Nasdaq,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permits an emerging growth company to delay adopting new or revised accounting standards until such time as those standards apply to private companies.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When we cease to be an “emerging growth company,” we will incur and expect to continue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Operating as a public company also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may also be more difficult for us to find qualified persons to serve on our board of directors or as executive officers.</w:t>
      </w:r>
    </w:p>
    <w:p>
      <w:pPr>
        <w:spacing w:after="0" w:line="293" w:lineRule="exact"/>
        <w:rPr>
          <w:sz w:val="20"/>
          <w:szCs w:val="20"/>
          <w:color w:val="auto"/>
        </w:rPr>
      </w:pPr>
    </w:p>
    <w:p>
      <w:pPr>
        <w:ind w:left="5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85"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us or our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services or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to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class-action suits against those companies following periods of instability in the market price of their securities. If we were involved in a class-action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our ability to raise capital in the future. In addition, if a claim is successfully made against us, we may be required to pay significant damages, which could have a material adverse effect on our financial condition and results of operations.</w:t>
      </w:r>
    </w:p>
    <w:p>
      <w:pPr>
        <w:spacing w:after="0" w:line="266"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the ADSs than the amount paid by our existing shareholders for their ordinary shares on a per ADS basis. As a result, you will experience immediate and substantial dilution of approximately US$        per ADS, representing the difference between the initial public offering price of US$        per ADS, the midpoint of the estimated initial public offering price range set forth on the front cover of this prospectus, and our net tangible book value per ADS as of June 30, 2023, after giving effect the net proceeds we receive from this offering. In addition, holders of our ADSs may experience further dilution of their interest if we issue additional shares in the future to raise additional capital. For a more complete description of how the value of your investment in the ADSs will be diluted upon the completion of this offering, see “Dilution.”</w:t>
      </w:r>
    </w:p>
    <w:p>
      <w:pPr>
        <w:spacing w:after="0" w:line="200" w:lineRule="exact"/>
        <w:rPr>
          <w:sz w:val="20"/>
          <w:szCs w:val="20"/>
          <w:color w:val="auto"/>
        </w:rPr>
      </w:pPr>
    </w:p>
    <w:p>
      <w:pPr>
        <w:spacing w:after="0" w:line="307" w:lineRule="exact"/>
        <w:rPr>
          <w:sz w:val="20"/>
          <w:szCs w:val="20"/>
          <w:color w:val="auto"/>
        </w:rPr>
      </w:pPr>
    </w:p>
    <w:p>
      <w:pPr>
        <w:ind w:left="56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284" w:lineRule="exact"/>
        <w:rPr>
          <w:sz w:val="20"/>
          <w:szCs w:val="20"/>
          <w:color w:val="auto"/>
        </w:rPr>
      </w:pPr>
    </w:p>
    <w:p>
      <w:pPr>
        <w:ind w:left="5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5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authorized and issued ordinary shares are divided into Class A ordinary shares and Class B ordinary shares. Holders of Class A ordinary shares will be entitled to one vote per share, while the holder of Class B ordinary shares will be entitled to 10 votes per share. We will issue Class A ordinary shares represented by the ADSs in this offering. Each Class B ordinary share is convertible into an equal number of Class A ordinary share at any time by the holders thereof, while Class A ordinary shares are not convertible into Class B ordinary shares under any circumstances.</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Mr. Junhong Yao, our founder, director and chief executive officer, will beneficially own 331,292,603 Class B ordinary shares and           Class A ordinary shares. Mr. Junhong Yao will beneficially own approximately    % of our total issued and outstanding share capital immediately after the completion of this offering and    % of the aggregate voting power of our total issued and outstanding share capital immediately after the completion of this offering due to the disparate voting powers associated with our dual-class share structure, assuming the underwriters do not exercise their option to purchase additional ADSs. As a result of the dual-class share structure and the concentration of ownership, the holder of Class B ordinary shares will have considerable influence over matters such as decisions regarding mergers and consolidations,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the ADSs.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spacing w:after="0" w:line="296" w:lineRule="exact"/>
        <w:rPr>
          <w:sz w:val="20"/>
          <w:szCs w:val="20"/>
          <w:color w:val="auto"/>
        </w:rPr>
      </w:pPr>
    </w:p>
    <w:p>
      <w:pPr>
        <w:jc w:val="both"/>
        <w:ind w:left="56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Upon the completion of this offering, we will be a “controlled company” as defined under the Nasdaq corporate governance rules. As a result, we will qualify for, and intend to rely on, exemptions from certain corporate governance requirements that would otherwise provide protection to shareholders of other companies.</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the completion of this offering, we will be a “controlled company” as defined under the Nasdaq corporate governance rules because Mr. Junhong Yao will own more than 50% of our total voting power. For so long as we remain a controlled company, we may rely on certain exemptions from the corporate governance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ADSs could adversely affect their market price.</w:t>
      </w:r>
    </w:p>
    <w:p>
      <w:pPr>
        <w:spacing w:after="0" w:line="121"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Sales of substantial amounts of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 freely tradable without restriction or further registration under the Securities Act. In addition, shares held by our existing shareholders, including those held by our founder and principal shareholders, may also be sold in the public market in the future, subject to the restrictions in Rule 144 and Rule 701 under the Securities Act and the applicable lock-up agreements. There will be        ADSs (representing        Class A ordinary shares) issued and outstanding immediately after this offering, or        ADSs (representing       </w:t>
      </w:r>
    </w:p>
    <w:p>
      <w:pPr>
        <w:spacing w:after="0" w:line="5" w:lineRule="exact"/>
        <w:rPr>
          <w:sz w:val="20"/>
          <w:szCs w:val="20"/>
          <w:color w:val="auto"/>
        </w:rPr>
      </w:pPr>
    </w:p>
    <w:p>
      <w:pPr>
        <w:jc w:val="both"/>
        <w:ind w:left="120" w:right="20"/>
        <w:spacing w:after="0" w:line="252" w:lineRule="auto"/>
        <w:rPr>
          <w:sz w:val="20"/>
          <w:szCs w:val="20"/>
          <w:color w:val="auto"/>
        </w:rPr>
      </w:pPr>
      <w:r>
        <w:rPr>
          <w:rFonts w:ascii="Times New Roman" w:cs="Times New Roman" w:eastAsia="Times New Roman" w:hAnsi="Times New Roman"/>
          <w:sz w:val="18"/>
          <w:szCs w:val="18"/>
          <w:color w:val="auto"/>
        </w:rPr>
        <w:t>Class A ordinary shares) if the underwriters exercise their option to purchase additional ADSs in full. In connection with this offering, we, our directors, executive officers, existing shareholders and holders of share-based awards have agreed, subject to certain exceptions, not to sell any ordinary shares or ADSs for 180 days.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the ADSs. For a more detailed description of the restrictions on selling our securities after this offering, see “Underwriting” and “Shares Eligible for Future Sale.”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certain holders of our Class A ordinary shares may cause us to register under the Securities Act the sale of their shares, subject to the 180-day lock-up period in connection with this offering. See “Description of Share Capital—Shareholders Agreement— Registration Rights.” Registration of these shares under the Securities Act would result in ADSs representing these shares becoming freely tradable without restriction under the Securities Act immediately upon the effectiveness of such registration. Sales of these registered shares in the form of ADSs in the public market could cause the price of our ADSs to decline.</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Promptly after the completion of this offering, we intend to file one or more registration statements with the SEC on Form S-8 to register ordinary shares reserved for future issuance under our equity incentive plan. The registration statement on Form S-8 is expected to become effective immediately upon filing and, subject to the satisfaction of vesting conditions, the ordinary shares covered by the registration statement will then become eligible for sale in the public market, subject to the Rule 144 limitations applicable to affiliates. Furthermore, following the completion of this offering, we may issue additional ordinary shares or convertible securities in public offerings or as consideration for acquisitions. We cannot predict the size of future issuances of our ordinary shares or securities convertible into ordinary shares or the effect, if any, that future issuances and sales of our ordinary shares will have on the market price of our ordinary shares. Sales of substantial amounts of our ordinary shares (including shares issued in connection with an acquisition), or the perception that such sales could occur, may adversely affect prevailing market prices of our ordinary shares. See “Shares Eligible for Future Sale.”</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93"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after this offering, you must rely on a price appreciation of the ADSs for a return on your investment.</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dividends in the foreseeable future. Therefore, you should not rely on an investment in the ADSs as a source for any future dividend income.</w:t>
      </w:r>
    </w:p>
    <w:p>
      <w:pPr>
        <w:spacing w:after="0" w:line="225"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In either case, all dividends are subject to certain restrictions under Cayman Islands law, namely that our company may pay a dividend out of either profit or a share premium account, provided always that in no circumstances may a dividend be paid if this would result in the Company being unable to pay its debts as they fall due in the ordinary course of business.</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after this offering or even maintain the price at which you purchased the ADSs. You may not realize a return on your investment in the ADSs and you may even lose your entire investment in the ADSs.</w:t>
      </w:r>
    </w:p>
    <w:p>
      <w:pPr>
        <w:spacing w:after="0" w:line="291" w:lineRule="exact"/>
        <w:rPr>
          <w:sz w:val="20"/>
          <w:szCs w:val="20"/>
          <w:color w:val="auto"/>
        </w:rPr>
      </w:pPr>
    </w:p>
    <w:p>
      <w:pPr>
        <w:ind w:left="5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administration requirements of the China Securities Regulatory Commission or other PRC regulatory agencies may be required in connection with this offering under PRC law.</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are subject to further clarification from regulators. In the past, companies that are controlled by PRC individuals with their operations primarily in the PRC, had been able to complete oversea listings without CSRC approval through a restructuring process. Such a process was intended to avoid direct application of the M&amp;A Rules, although there is uncertainty on whether the M&amp;A Rules shall nonetheless apply. If the CSRC approval under the M&amp;A rules is required, it is uncertain how long it will take for us to obtain such approval, and any failure to obtain or a delay in obtaining CSRC approval for this offering may subject us to sanctions imposed by the CSRC and other PRC regulatory agencies.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PRC legal advisor has advised us that, based on its understanding of the current PRC laws and regulations, we will not be required to submit an application to the CSRC for its approval of this offering and the listing and trading of the ADSs on Nasdaq under the M&amp;A Rules because the CSRC currently has not issued any definitive rule or interpretation concerning whether offerings like ours under this prospectus are subject to this regulation. However, our PRC legal advisor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our PRC legal advisor.</w:t>
      </w:r>
    </w:p>
    <w:p>
      <w:pPr>
        <w:spacing w:after="0" w:line="18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numerous regulations, guidelines and other measures have been or are expected to be adopted under the umbrella of or in addition to the Cybersecurity Law, Data Security Law and Personal Information Protection Law, including (i) the Measures for the Security Assessment for Cross-border Transfer of Personal Information (Draft for Comments) published by the Cyberspace Administration of China, or CAC, in 2019, which may, upon enactment, require security review before transferring personal information out of China, (ii) the amended Cybersecurity Review Measures published on December 28, 2021, which came into effect on February 15, 2022, provide that a “network platform operator” that possesses personal information of more than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one million users and seeks a listing in a foreign country must apply for a cybersecurity review, and (iii) the Measures for the Security Assessment of Cross-border Data Transfer, which came into effect on September 1, 2022, provide that certain types of data processors transferring important data or personal information collected and generated during operations within the territory of the PRC to an overseas recipient must apply for security assessment of cross-border data transfer. As a network platform operator who possesses personal information of more than one million users for purposes of the Cybersecurity Review Measures, we have applied for and completed a cybersecurity review with respect to our proposed overseas listing pursuant to the Cybersecurity Review Measures.</w:t>
      </w:r>
    </w:p>
    <w:p>
      <w:pPr>
        <w:spacing w:after="0" w:line="18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February 17, 2023, the CSRC promulgated Trial Administrative Measures of the Overseas Securities Offering and Listing by Domestic Companies, along with five supporting guidelines. These regulations became effective on March 31, 2023. According to the New Overseas Listing Rules, or the New Overseas Listing Rules, PRC domestic companies that seek to offer and list securities in overseas markets, either through direct or indirect means, are required to complete the filing procedure with the CSRC. The New Overseas Listing Rules provide that if the issuer meets the following criteria at the same time, the overseas securities offering and listing conducted by such issuer will be deemed as an indirect overseas offering that is subject to the filing procedures as set forth under the New Overseas Listing Rules: (i) 50% or more of the issuer’s operating revenue, total profit, total assets or net assets as documented in its audited combined financial statements for the most recent accounting year is accounted for by domestic companies; and (ii) the main parts of the issuer’s business activities conducted in the mainland China, or its main places of business are located in the mainland China, or the senior managers in charge of its business operations and management are mostly Chinese citizens or domiciled in the mainland China. According to the New Overseas Listing Rules, with respect to this offering, we shall file with the CSRC within three business days after our initial submission of the registration statement to the SEC for its nonpublic review, and we shall report to the CSRC within three business days after our first public filing of the registration statement with the SEC. The New Overseas Listing Rules also require us to report to the CSRC upon the completion of this offering. We expect to submit to the CSRC our application for the required filing regarding this offering within the timeframe required under the New Overseas Listing Rules after our first submission of the registration statement to the SEC for its nonpublic review. We expect to complete the filing procedures with the CSRC prior to the completion of this offering. Moreover, the New Overseas Listing Rules mandate that overseas-listed issuers conducting follow-on securities offerings in the same overseas market must file with the CSRC within three business days after the completion of such offering. Additionally, issuers listed overseas are required to report “material events” to the CSRC within three business days following the occurrence and public announcement of such events. These material events include change of control, voluntary delisting or being ordered to delist, and investigations or penalties by overseas securities regulatory bodies, among other things.</w:t>
      </w:r>
    </w:p>
    <w:p>
      <w:pPr>
        <w:spacing w:after="0" w:line="19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24, 2023, the CSRC, together with other governmental authorities, released the Provisions on Strengthening the Confidentiality and Archives Administration Related to the Overseas Securities Offering and Listing by Domestic Enterprises, or the Confidentiality and Archives Administration Provisions, which became effective on March 31, 2023. The Confidentiality and Archives Administration Provisions are designed to expand the applicable scope of the regulation to indirect overseas offerings and listings by PRC domestic companies with an emphasis on the confidentiality and archive management duties of PRC domestic companies during the process of overseas offerings and listings. Pursuant to the Confidentiality and Archives Administration Provisions, the domestic companies,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during such inspection and investigation. As the Confidentiality and Archives Administration Provisions are relatively new, there are substantial uncertainties with respect to their interpretation and implementation.</w:t>
      </w:r>
    </w:p>
    <w:p>
      <w:pPr>
        <w:spacing w:after="0" w:line="19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Failure to fulfill these obligations to make timely filings or reports to the CSRC may result in fines, legal or administrative sanctions and other adverse consequences and could materially and adversely affect our ability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raise funds in overseas markets. Furthermore, we cannot guarantee that future rules or regulations will not impose additional or more stringent requirements regarding necessary approvals or filings with the CSRC or other PRC regulatory agencies concerning our financing activities.</w:t>
      </w:r>
    </w:p>
    <w:p>
      <w:pPr>
        <w:spacing w:after="0" w:line="266"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maybe limited, because we are incorporated under Cayman Islands law.</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may be narrower in scope or less developed than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In addition,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 subject only to very limited equitable constraints. One of the examples of such constraint is that the exercise of voting rights to amend the memorandum or articles of association of a Cayman Islands company must be exercised in good faith for the benefit of the Company as a whole.</w:t>
      </w:r>
    </w:p>
    <w:p>
      <w:pPr>
        <w:spacing w:after="0" w:line="19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special resolutions which have been passed by shareholders, register of mortgages and charges, and a list of current directors) or to obtain copies of lists of shareholders of these companies. Our directors have discretion under our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“Description of Share Capital—Differences in Corporate Law.”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substantially all of our assets are located outside of the United States. All of our current operations are conducted in China.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 However, the deposit agreement gives you the right to submit claims against us to binding arbitration, and arbitration awards may be enforceable against us and our assets in China even when court judgments are not.</w:t>
      </w:r>
    </w:p>
    <w:p>
      <w:pPr>
        <w:spacing w:after="0" w:line="292" w:lineRule="exact"/>
        <w:rPr>
          <w:sz w:val="20"/>
          <w:szCs w:val="20"/>
          <w:color w:val="auto"/>
        </w:rPr>
      </w:pPr>
    </w:p>
    <w:p>
      <w:pPr>
        <w:ind w:left="5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State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owner or holder of ADSs or by us or the depositary of compliance with any substantive provision of the U.S. federal securities laws and the rules and regulations promulgated thereunder.</w:t>
      </w:r>
    </w:p>
    <w:p>
      <w:pPr>
        <w:spacing w:after="0" w:line="280"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the Class A ordinary shares underlying the ADSs.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an exempted company incorporated in the Cayman Islands, we are not obliged by the Companies Act (As Revised) to call shareholders’ annual general meetings. Our second amended and restated memorandum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1" w:lineRule="auto"/>
        <w:rPr>
          <w:sz w:val="20"/>
          <w:szCs w:val="20"/>
          <w:color w:val="auto"/>
        </w:rPr>
      </w:pPr>
      <w:r>
        <w:rPr>
          <w:rFonts w:ascii="Times New Roman" w:cs="Times New Roman" w:eastAsia="Times New Roman" w:hAnsi="Times New Roman"/>
          <w:sz w:val="18"/>
          <w:szCs w:val="18"/>
          <w:color w:val="auto"/>
        </w:rPr>
        <w:t>articles of association provide that we may (but are not obliged to) each year hold a general meeting as our annual general meeting. Holders of ADSs do not have the same rights as our shareholders. As a holder of ADSs, you will not have any direct right to attend general meetings of our company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Upon receipt of your voting instructions, the depositary may try to vote the Class A ordinary shares underlying the ADSs in accordance with your instructions. If we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cancel the ADSs and withdraw the shares and become the registered holder of such shares prior to the record date for the general meeting. When a general meeting is convened, you may not receive sufficient advance notice of the meeting to enable you to withdraw the Class A ordinary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amended and restated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deliver our voting materials to you, if we ask it to. We cannot assure you that you will receive the voting materials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the ADSs are voted and you may have no legal remedy if the Class A ordinary shares underlying the ADSs are not voted as you requested.</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not receive cash dividends if the depositary decides it is impractical to make them available to such holders.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depositary will pay cash dividends on the ADSs only to the extent that we decide to distribute dividends on our ordinary shares or other deposited securities, and we do not have any present plan to pay any cash dividends on our ordinary shares in the foreseeable future. To the extent that there is a distribution, the depositary of the ADSs has agreed to pay to holders of the ADSs the cash dividends or other distributions it or the custodian receives on our ordinary shares or other deposited securities after deducting its fees and expenses. Holders of the ADSs will receive these distributions in proportion to the number of ordinary shares the ADSs represent. However, the depositary may, at its discretion, decide that it is inequitable or impractical to make a distribution available to any holders of the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holders of the ADSs.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the inability to participate in rights offerings.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84" w:lineRule="exact"/>
        <w:rPr>
          <w:sz w:val="20"/>
          <w:szCs w:val="20"/>
          <w:color w:val="auto"/>
        </w:rPr>
      </w:pPr>
    </w:p>
    <w:p>
      <w:pPr>
        <w:ind w:left="56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post-offering amended and restated memorandum and articles of association that we will adopt and will become effective immediately prior to the completion of this offering contain anti-takeover provisions that could discourage a third party from acquiring us and adversely affect the rights of holders of our ordinary shares and ADSs.</w:t>
      </w:r>
    </w:p>
    <w:p>
      <w:pPr>
        <w:spacing w:after="0" w:line="6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post-offering amended and restated memorandum and articles of association contain provisions to limit the ability of others to acquire control of our company or cause us to engage in change-of-control transactions, including provisions that authorize our board of directors to issue preferred shares in one or more series and to designate the price, rights, preferences, privileges and restrictions of such preferred shares without any further vote or action by our shareholders. These provisions could have the effect of depriving our shareholders of an opportunity to sell their shares at a premium over prevailing market prices by discouraging third parties from seeking to obtain control of our company in a tender offer or similar transaction.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the ADSs.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 to time when it deems it expedient in connection with the performance of its duties and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87" w:lineRule="exact"/>
        <w:rPr>
          <w:sz w:val="20"/>
          <w:szCs w:val="20"/>
          <w:color w:val="auto"/>
        </w:rPr>
      </w:pPr>
    </w:p>
    <w:p>
      <w:pPr>
        <w:ind w:left="56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 and as a result, our results of operations and financial statements may not be comparable to the results of operations and financial statements of other companies that have adopted the new or revised accounting standards. If we cease to be an emerging growth company, we will no longer be entitled to the exemptions provided in the JOBS Act discussed above.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quarterly certifications by the principal executive and financial officers or current reports on Form 8-K;</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For example, U.S. domestic issuers are required to file annual reports within 60 to 90 days from the end of each fiscal year. As a result, you may not be afforded the same protections or information that would be made available to you were you investing in a U.S. domestic issuer.</w:t>
      </w:r>
    </w:p>
    <w:p>
      <w:pPr>
        <w:spacing w:after="0" w:line="291" w:lineRule="exact"/>
        <w:rPr>
          <w:sz w:val="20"/>
          <w:szCs w:val="20"/>
          <w:color w:val="auto"/>
        </w:rPr>
      </w:pPr>
    </w:p>
    <w:p>
      <w:pPr>
        <w:ind w:left="56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67"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an exempted company incorporated in the Cayman Islands and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intend to follow Cayman Islands corporate governance practices in lieu of the corporate governance requirements of the Nasdaq that listed companies must have: (i) a majority of independent directors; (ii) a nominating/corporate governance committee composed entirely of independent directors; and (iii) a majority of independent directors and that the audit committee consist of at least three members. To the extent that we choose to follow home country practice in the future, our shareholders may be afforded less protection than they otherwise would enjoy under Nasdaq corporate governance listing standards applicable to U.S. domestic issuers.</w:t>
      </w:r>
    </w:p>
    <w:p>
      <w:pPr>
        <w:spacing w:after="0" w:line="296" w:lineRule="exact"/>
        <w:rPr>
          <w:sz w:val="20"/>
          <w:szCs w:val="20"/>
          <w:color w:val="auto"/>
        </w:rPr>
      </w:pPr>
    </w:p>
    <w:p>
      <w:pPr>
        <w:ind w:left="5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not be a passive foreign investment company (a “PFIC”) for U.S. federal income tax purposes for any taxable year, which would generally result in adverse U.S. federal income tax consequences to you if you are a U.S. investor.</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75% or more of its gross income consists of passive income or (ii) 50% or more of the value of its assets (generally determined on a quarterly average basis) consists of assets that produce, or are held for the production of, passive income. For the purposes of the above calculations, a non-U.S. corporation that owns, directly or indirectly, at least 25% by value of the stock of another corporation is treated as if it held its proportionate share of the assets of the other corporation and received directly its proportionate share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income of the other corporation. Passive income generally includes dividends, interest, rents, royalties (other than certain rents or royalties derived in an active business), and certain investment gains. Cash and cash equivalents are generally treated as passive assets. Goodwill is generally treated as an active asset to the extent it is associated with business activities that generate active income.</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expected composition of our income and assets and the estimated value of our assets, including goodwill, which is based on the expected price of the ADSs in this offering, we do not expect to be a PFIC for our current taxable year. However, our PFIC status for the current or any future taxable year is an annual factual determination that can be made only after the end of that year. Specifically, our PFIC status for any taxable year will depend on the composition of our income and assets and the average value of our assets from time to time (including the value of our goodwill, which may be determined in large part by reference to our market capitalization, which could be volatile). Because following this offering we will hold a substantial amount of cash, we may be or become a PFIC for any taxable year if our market capitalization declines or fluctuates significantly. Furthermore, our annual PFIC status could be impacted by our minority investments in other companies (depending, among other things, on the amount invested and the nature of these companies’ business). In addition, it is not entirely clear how the contractual arrangement between us and our VIEs will be treated for purposes of the PFIC rules, and we may be or become a PFIC if the VIEs are not treated as owned by us for these purposes. Accordingly, we cannot assure you that we will not be a PFIC for the current or any future taxable year.</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owns ADSs or Class A ordinary shares, the U.S. taxpayer generally will be subject to adverse U.S. federal income tax consequences, including increased taxes on gains and certain distributions as well as reporting requirements. You are urged to consult your tax advisor regarding our possible status as a PFIC. See “Taxation—Certain U.S. Federal Income Tax Considerations— Passive Foreign Investment Company Rules.”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“expect,” “should,” “plan,” “intend,” “estimate” and “potential,” among others.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89"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demographic and business conditions in China and globally;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inflation and exchange rates in China and globally;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and conduct our business in the future;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and the ability to retain such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and competition in the industries in which we operate;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and regulation;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We expect to receive total estimated net proceeds from this offering of approximately US$            million, or approximately US$          </w:t>
      </w:r>
    </w:p>
    <w:p>
      <w:pPr>
        <w:spacing w:after="0" w:line="27" w:lineRule="exact"/>
        <w:rPr>
          <w:sz w:val="20"/>
          <w:szCs w:val="20"/>
          <w:color w:val="auto"/>
        </w:rPr>
      </w:pPr>
    </w:p>
    <w:p>
      <w:pPr>
        <w:jc w:val="both"/>
        <w:ind w:left="120" w:right="20"/>
        <w:spacing w:after="0" w:line="252" w:lineRule="auto"/>
        <w:rPr>
          <w:sz w:val="20"/>
          <w:szCs w:val="20"/>
          <w:color w:val="auto"/>
        </w:rPr>
      </w:pPr>
      <w:r>
        <w:rPr>
          <w:rFonts w:ascii="Times New Roman" w:cs="Times New Roman" w:eastAsia="Times New Roman" w:hAnsi="Times New Roman"/>
          <w:sz w:val="18"/>
          <w:szCs w:val="18"/>
          <w:color w:val="auto"/>
        </w:rPr>
        <w:t>million if the underwriters exercise their option to purchase additional ADSs in full, based on the midpoint of the estimated initial public offering price range set forth on the front cover of this prospectus, after deducting underwriting discounts and commissions and estimated expenses payable by us. A US$1.00 increase (decrease) in the assumed initial public offering price of US$        per ADS would increase (decrease) the net proceeds to us from this offering by US$        million, assuming the underwriters do not exercise their option to purchase additional ADSs and the number of ADSs offered by us, as set forth on the front cover of this prospectus, remains the same, and after deducting the estimated underwriting discounts and commissions and estimated expenses payable by us.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plan to use the net proceeds of this offering primarily for the following purposes:</w:t>
      </w:r>
    </w:p>
    <w:p>
      <w:pPr>
        <w:spacing w:after="0" w:line="131"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will be used for enhancing our digitalization solutions and expanding our transaction services to auto merchants;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will be used for additional investment in technological capabilities, particularly artificial intelligence;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will be used for general corporate purposes and working capital.</w:t>
      </w:r>
    </w:p>
    <w:p>
      <w:pPr>
        <w:spacing w:after="0" w:line="225"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an unforeseen event occurs or business conditions change, we may use the proceeds of this offering differently than as described in this prospectus. In utilizing the proceeds from this offering, we are permitted under PRC laws and regulations to provide funding to our PRC subsidiaries only through loans or capital contributions, and only if we satisfy the applicable government registration and approval requirements. We cannot assure you that we will be able to meet these requirements on a timely basis, if at all. See “Risk Factors—Risks Related to Doing Business in China—PRC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 Additionally, while there is no statutory limit on the amount of capital contribution that we can make to our PRC subsidiaries, loans provided to our PRC subsidiaries are subject to certain statutory limits. For more information about such statutory limits, see “Regulation—Regulations relating to Foreign Exchange Control.”</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able to use all of the net proceeds from this offering for investment in our operations in the PRC by funding our PRC subsidiaries through capital contributions which is not subject to any statutory limit on the amount under PRC laws and regulations. We expect that the net proceeds from this offering to be used in the PRC will be in the form of RMB and, therefore, our PRC subsidiaries will need to convert any capital contributions or loans from U.S. dollars into Renminbi in accordance with applicable PRC laws and regulations. All of the net proceeds from this offering would be available for investment in our operations in the PRC, subject to the foregoing statutory limits on the amount of loans provided to our PRC subsidiaries and the laws and regulations on the conversion from U.S. dollars into Renminbi.</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not previously declared or paid any cash dividend or dividend in kind, and have no plan to declare or pay any dividends in the near future. We currently intend to retain our available funds and any future earnings to operate and expand our business. Additionally, we currently do not have any plan to require our PRC subsidiaries to distribute their retained earnings and intend to retain them to operate and expand our business in the PRC.</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For our cash requirements, including any payment of dividends to our shareholders, we rely upon payments from our operating entities. PRC regulations may restrict the ability of our PRC subsidiaries to pay dividends to us. See “Regulation—Regulations relating to Foreign Exchange Control—Regulations on Dividend Distribution” and “Risk Factors—Risks Related to Doing Business in China—Regulatory restrictions on currency conversion may limit our ability to utilize our revenues effectively and affect the value of your investment.”</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ordinary shares, and the depositary then will pay such amounts to the ADS holders in proportion to the Class A ordinary shares underlying the ADSs held by such ADS holders, subject to the terms of the deposit agreement, net of the fees and expenses payable thereunder. See “Description of American Depositary Shares.”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our capitalization as of June 30, 2023:</w:t>
      </w:r>
    </w:p>
    <w:p>
      <w:pPr>
        <w:spacing w:after="0" w:line="131"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5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automatic conversion or redesignation of 600,621,204 issued and outstanding preferred shares (including the 24,422,238 Series G preferred shares issued in August 2023, but excluding Series E-3 and Series F preferred shares) into 600,621,204 ordinary shares, on a one-for-one basis, immediately prior to the completion of this offering; (ii) the automatic conversion or redesignation of 43,099,293 Series E-3 preferred shares and 160,532,881 Series F preferred shares into 43,169,428 and 161,499,813 ordinary shares, respectively, immediately prior to the completion of this offering on a ratio of approximately 0.9984:1 and 0.9940:1, respectively (due to certain anti-dilution mechanism pursuant to the currently effective memorandum and articles of association); and (iii) the immediate recognition of share-based compensation expenses of RMB119.8 million (US$16.5 million) upon the satisfaction of the IPO performance condition of the certain options for which the service-based condition had been fully or partially satisfied as June 30, 2023; and</w:t>
      </w:r>
    </w:p>
    <w:p>
      <w:pPr>
        <w:spacing w:after="0" w:line="93"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(i) the automatic conversion or redesignation of 600,621,204 issued and outstanding preferred shares (including the 24,422,238 Series G preferred shares issued in August 2023, but excluding Series E-3 and Series F</w:t>
      </w:r>
    </w:p>
    <w:p>
      <w:pPr>
        <w:jc w:val="both"/>
        <w:ind w:left="1080"/>
        <w:spacing w:after="0" w:line="251" w:lineRule="auto"/>
        <w:rPr>
          <w:sz w:val="20"/>
          <w:szCs w:val="20"/>
          <w:color w:val="auto"/>
        </w:rPr>
      </w:pPr>
      <w:r>
        <w:rPr>
          <w:rFonts w:ascii="Times New Roman" w:cs="Times New Roman" w:eastAsia="Times New Roman" w:hAnsi="Times New Roman"/>
          <w:sz w:val="18"/>
          <w:szCs w:val="18"/>
          <w:color w:val="auto"/>
        </w:rPr>
        <w:t>preferred shares) into 600,621,204 ordinary shares, on a one-for-one basis, immediately prior to the completion of this offering; (ii) the automatic conversion or redesignation of 43,099,293 Series E-3 preferred shares and 160,532,881 Series F preferred shares into 43,169,428 and 161,499,813 ordinary shares, respectively, upon the completion of the offering on a ratio of approximately 0.9984:1 and 0.9940:1 respectively (due to certain anti-dilution mechanism pursuant to the currently effective memorandum and articles of association); and (iii) the issuance and sale of       Class A ordinary shares in this offering, and the receipt of approximately US$      million in estimated net proceeds, considering an offering price of US$      per ADS (the midpoint of the estimated initial public offering price range set forth on the front cover of this prospectus), after deduction of the underwriting discounts and commissions and estimated expenses payable by us; and (iv) the immediate recognition of share-based compensation expenses of RMB119.8 million (US$16.5 million) upon the satisfaction of the IPO performance condition of the certain options for which the service-based condition had been fully or partially satisfied as June 30, 2023.</w:t>
      </w:r>
    </w:p>
    <w:p>
      <w:pPr>
        <w:spacing w:after="0" w:line="19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table together with our combined and consolidated financial statements and the related notes included elsewhere in this prospectus and the information under “Management’s Discussion and Analysis of Financial Condition and Results of Operations.”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8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8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0"/>
                <w:szCs w:val="10"/>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jc w:val="center"/>
              <w:ind w:left="666"/>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center"/>
              <w:ind w:left="666"/>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360" w:type="dxa"/>
            <w:vAlign w:val="bottom"/>
            <w:tcBorders>
              <w:top w:val="single" w:sz="8" w:color="auto"/>
            </w:tcBorders>
          </w:tcPr>
          <w:p>
            <w:pPr>
              <w:jc w:val="right"/>
              <w:ind w:right="41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56"/>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tcPr>
          <w:p>
            <w:pPr>
              <w:spacing w:after="0"/>
              <w:rPr>
                <w:sz w:val="10"/>
                <w:szCs w:val="10"/>
                <w:color w:val="auto"/>
              </w:rPr>
            </w:pPr>
          </w:p>
        </w:tc>
        <w:tc>
          <w:tcPr>
            <w:tcW w:w="860" w:type="dxa"/>
            <w:vAlign w:val="bottom"/>
            <w:tcBorders>
              <w:top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tcPr>
          <w:p>
            <w:pPr>
              <w:spacing w:after="0"/>
              <w:rPr>
                <w:sz w:val="10"/>
                <w:szCs w:val="10"/>
                <w:color w:val="auto"/>
              </w:rPr>
            </w:pPr>
          </w:p>
        </w:tc>
        <w:tc>
          <w:tcPr>
            <w:tcW w:w="1580" w:type="dxa"/>
            <w:vAlign w:val="bottom"/>
            <w:tcBorders>
              <w:top w:val="single" w:sz="8" w:color="auto"/>
            </w:tcBorders>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72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82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6"/>
                <w:szCs w:val="16"/>
                <w:color w:val="auto"/>
              </w:rPr>
            </w:pPr>
          </w:p>
        </w:tc>
        <w:tc>
          <w:tcPr>
            <w:tcW w:w="10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8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shares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25,503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0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A-2 redeemable convertible preferred shares</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188,258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shares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46,976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20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redeemable convertible preferred shares</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629,190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Series D-1 redeemable convertible preferred shares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1,622,939</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223,814</w:t>
            </w:r>
          </w:p>
        </w:tc>
        <w:tc>
          <w:tcPr>
            <w:tcW w:w="200" w:type="dxa"/>
            <w:vAlign w:val="bottom"/>
          </w:tcPr>
          <w:p>
            <w:pPr>
              <w:spacing w:after="0"/>
              <w:rPr>
                <w:sz w:val="20"/>
                <w:szCs w:val="20"/>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280" w:type="dxa"/>
            <w:vAlign w:val="bottom"/>
          </w:tcPr>
          <w:p>
            <w:pPr>
              <w:spacing w:after="0"/>
              <w:rPr>
                <w:sz w:val="24"/>
                <w:szCs w:val="24"/>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52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080" w:type="dxa"/>
            <w:vAlign w:val="bottom"/>
            <w:tcBorders>
              <w:top w:val="single" w:sz="8" w:color="auto"/>
            </w:tcBorders>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980" w:type="dxa"/>
            <w:vAlign w:val="bottom"/>
            <w:tcBorders>
              <w:top w:val="single" w:sz="8" w:color="auto"/>
            </w:tcBorders>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1520" w:type="dxa"/>
            <w:vAlign w:val="bottom"/>
            <w:tcBorders>
              <w:top w:val="single" w:sz="8" w:color="auto"/>
            </w:tcBorders>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0" w:type="dxa"/>
            <w:vAlign w:val="bottom"/>
            <w:tcBorders>
              <w:top w:val="single" w:sz="8" w:color="auto"/>
            </w:tcBorders>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720" w:type="dxa"/>
            <w:vAlign w:val="bottom"/>
            <w:tcBorders>
              <w:top w:val="single" w:sz="8" w:color="auto"/>
            </w:tcBorders>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2500" w:type="dxa"/>
            <w:vAlign w:val="bottom"/>
            <w:gridSpan w:val="4"/>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5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28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E-1 redeemable convertible preferred shares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1,274,747</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175,796</w:t>
            </w:r>
          </w:p>
        </w:tc>
        <w:tc>
          <w:tcPr>
            <w:tcW w:w="15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Series E-2 redeemable convertible preferred shares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2,473,864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341,161</w:t>
            </w: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E-3 redeemable convertible preferred shares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1,062,362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146,506</w:t>
            </w:r>
          </w:p>
        </w:tc>
        <w:tc>
          <w:tcPr>
            <w:tcW w:w="15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Series F redeemable convertible preferred shares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5,007,444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690,559</w:t>
            </w: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 redeemable convertible preferred shares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12,331,283</w:t>
            </w:r>
          </w:p>
        </w:tc>
        <w:tc>
          <w:tcPr>
            <w:tcW w:w="2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1,700,562</w:t>
            </w:r>
          </w:p>
        </w:tc>
        <w:tc>
          <w:tcPr>
            <w:tcW w:w="2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4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(US$0.0001 par value; 1,216,561,622</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 136,159,402 shares issued and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June 30, 2023; 941,449,847 shares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on a pro forma basis and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shares issued and outstanding on a pro forma</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adjusted basis)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12,750,493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1,758,374</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(11,667,396)</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(1,609,010)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(11,787,209)</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(1,609,010)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DSC Holdings Ltd. shareholders’ deficit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(11,666,957)</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(1,608,948)</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964,307</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149,506</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(deficit)/equity</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(11,669,549)</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(1,609,305)</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961,715</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149,149</w:t>
            </w:r>
          </w:p>
        </w:tc>
        <w:tc>
          <w:tcPr>
            <w:tcW w:w="22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661,734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91,257</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961,715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149,149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420" w:right="20" w:hanging="966"/>
        <w:spacing w:after="0" w:line="261" w:lineRule="auto"/>
        <w:rPr>
          <w:sz w:val="20"/>
          <w:szCs w:val="20"/>
          <w:color w:val="auto"/>
        </w:rPr>
      </w:pPr>
      <w:r>
        <w:rPr>
          <w:rFonts w:ascii="Times New Roman" w:cs="Times New Roman" w:eastAsia="Times New Roman" w:hAnsi="Times New Roman"/>
          <w:sz w:val="18"/>
          <w:szCs w:val="18"/>
          <w:color w:val="auto"/>
        </w:rPr>
        <w:t>Notes:  (1) The pro forma as adjusted information discussed above is illustrative only. Our capitalization following the completion of this offering are subject to adjustment based on the actual initial public offering price and other terms of this offering determined at pricing.</w:t>
      </w:r>
    </w:p>
    <w:p>
      <w:pPr>
        <w:jc w:val="both"/>
        <w:ind w:left="1420" w:hanging="312"/>
        <w:spacing w:after="0" w:line="250"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US$1.00 increase (decrease) in the assumed initial public offering price of US$        per ADS, which is the midpoint of the estimated range of the initial public offering price shown on the cover page of this prospectus, would, in the case of an increase,</w:t>
      </w:r>
    </w:p>
    <w:p>
      <w:pPr>
        <w:spacing w:after="0" w:line="1" w:lineRule="exact"/>
        <w:rPr>
          <w:sz w:val="20"/>
          <w:szCs w:val="20"/>
          <w:color w:val="auto"/>
        </w:rPr>
      </w:pPr>
    </w:p>
    <w:p>
      <w:pPr>
        <w:ind w:left="1420" w:right="20"/>
        <w:spacing w:after="0" w:line="260" w:lineRule="auto"/>
        <w:rPr>
          <w:sz w:val="20"/>
          <w:szCs w:val="20"/>
          <w:color w:val="auto"/>
        </w:rPr>
      </w:pPr>
      <w:r>
        <w:rPr>
          <w:rFonts w:ascii="Times New Roman" w:cs="Times New Roman" w:eastAsia="Times New Roman" w:hAnsi="Times New Roman"/>
          <w:sz w:val="18"/>
          <w:szCs w:val="18"/>
          <w:color w:val="auto"/>
        </w:rPr>
        <w:t>increase and, in the case of a decrease, decrease each of additional paid-in capital, total shareholders’ (deficit)/equity and total capitalization by US$      million.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Class A ordinary share is substantially in excess of the book value per ordinary share attributable to the existing shareholders for our presently issued and outstanding ordinary shares.</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net tangible book value as of June 30, 2023 was US$      million, or US$      per ordinary share as of that date. Net tangible book value represents the amount of our consolidated assets, less intangible assets, goodwill and the amount of our total consolidated liabilities. Dilution is determined by subtracting net tangible book value per ordinary share as adjusted from the initial public offering price per ordinary shares.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Without taking into account any other changes in such net tangible book value after June 30, 2023, other than to give effect to the automatic conversion of our issued and outstanding preferred shares and the issuance and sale of         Class A ordinary shares offered in this offering, and the receipt of approximately US$        million in estimated net proceeds, considering an offering price of US$        per ADS (the midpoint of the estimated initial public offering price range set forth on the front cover of this prospectus), after deduction of the underwriting discounts and commissions payable by us, our as adjusted net tangible book value as of June 30, 2023 would have been US$        million, or US$        per ordinary share and US$        per ADS, to existing shareholders and an immediate dilution in net tangible book value of US$        per ordinary share, or US$        per ADS, to purchasers of ADSs in this offering.</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at an assumed initial public offering price of US$        per ADS, the midpoint of the estimated initial public offering price range set forth on the front cover of this prospectus and all ADSs are exchanged for Class A ordinary shares: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51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Initial public offering price per Class A ordinary share</w:t>
            </w:r>
          </w:p>
        </w:tc>
        <w:tc>
          <w:tcPr>
            <w:tcW w:w="5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9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as of June 30, 2023</w:t>
            </w:r>
          </w:p>
        </w:tc>
        <w:tc>
          <w:tcPr>
            <w:tcW w:w="54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as of June 30, 2023 after</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giving effect to the automatic conversion of all of our preferred</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5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this offering as of June 30, 2023</w:t>
            </w:r>
          </w:p>
        </w:tc>
        <w:tc>
          <w:tcPr>
            <w:tcW w:w="54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 of dilution in net tangible book value to new investors in</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5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 forma information discussed above is illustrative only.</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 US$1.00 increase (decrease) in the assumed initial public offering price of US$ </w:t>
            </w:r>
          </w:p>
        </w:tc>
        <w:tc>
          <w:tcPr>
            <w:tcW w:w="4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         per ADS would increase (decrease) our as-adjusted net</w:t>
            </w:r>
          </w:p>
        </w:tc>
        <w:tc>
          <w:tcPr>
            <w:tcW w:w="0" w:type="dxa"/>
            <w:vAlign w:val="bottom"/>
          </w:tcPr>
          <w:p>
            <w:pPr>
              <w:spacing w:after="0"/>
              <w:rPr>
                <w:sz w:val="1"/>
                <w:szCs w:val="1"/>
                <w:color w:val="auto"/>
              </w:rPr>
            </w:pPr>
          </w:p>
        </w:tc>
      </w:tr>
    </w:tbl>
    <w:p>
      <w:pPr>
        <w:jc w:val="both"/>
        <w:ind w:left="120"/>
        <w:spacing w:after="0" w:line="260" w:lineRule="auto"/>
        <w:rPr>
          <w:sz w:val="20"/>
          <w:szCs w:val="20"/>
          <w:color w:val="auto"/>
        </w:rPr>
      </w:pPr>
      <w:r>
        <w:rPr>
          <w:rFonts w:ascii="Times New Roman" w:cs="Times New Roman" w:eastAsia="Times New Roman" w:hAnsi="Times New Roman"/>
          <w:sz w:val="18"/>
          <w:szCs w:val="18"/>
          <w:color w:val="auto"/>
        </w:rPr>
        <w:t>tangible book value after giving effect to this offering by US$        million, the as-adjusted net tangible book value per ordinary share and per ADS after giving effect to this offering by US$        per ordinary share and US$        per ADS and the dilution in as-adjusted net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tangible book value per ordinary share and per ADS to new investors in this offering by US$        per ordinary share and US$        per ADS, assuming no change to the number of ADSs offered by us as set forth on the cover page of this prospectus, and after deducting underwriting discounts and commissions and other offering expenses.</w:t>
      </w:r>
    </w:p>
    <w:p>
      <w:pPr>
        <w:spacing w:after="0" w:line="17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summarizes, on a pro forma basis as of June 30, 2023, the differences between the existing shareholders and the new investors with respect to the number of ordinary shares purchased from us in this offering, the total consideration paid and the average price per ordinary share paid at the initial public offering price of US$        per ADS, the midpoint of the estimated initial public offering price range set forth on the front cover of this prospectus, before deducting underwriting discounts and commissions and estimated offering expenses. The total number of ordinary shares does not include        ordinary shares underlying the        ADSs issuable upon the exercise of the over-allotment option granted to the underwriters.</w:t>
      </w:r>
    </w:p>
    <w:p>
      <w:pPr>
        <w:spacing w:after="0" w:line="208" w:lineRule="exact"/>
        <w:rPr>
          <w:sz w:val="20"/>
          <w:szCs w:val="20"/>
          <w:color w:val="auto"/>
        </w:rPr>
      </w:pPr>
    </w:p>
    <w:tbl>
      <w:tblPr>
        <w:tblLayout w:type="fixed"/>
        <w:tblInd w:w="526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1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520" w:type="dxa"/>
            <w:vAlign w:val="bottom"/>
          </w:tcPr>
          <w:p>
            <w:pPr>
              <w:spacing w:after="0"/>
              <w:rPr>
                <w:sz w:val="13"/>
                <w:szCs w:val="13"/>
                <w:color w:val="auto"/>
              </w:rPr>
            </w:pPr>
          </w:p>
        </w:tc>
        <w:tc>
          <w:tcPr>
            <w:tcW w:w="880" w:type="dxa"/>
            <w:vAlign w:val="bottom"/>
          </w:tcPr>
          <w:p>
            <w:pPr>
              <w:jc w:val="center"/>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5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62"/>
        </w:trPr>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20" w:type="dxa"/>
            <w:vAlign w:val="bottom"/>
          </w:tcPr>
          <w:p>
            <w:pPr>
              <w:spacing w:after="0"/>
              <w:rPr>
                <w:sz w:val="14"/>
                <w:szCs w:val="14"/>
                <w:color w:val="auto"/>
              </w:rPr>
            </w:pPr>
          </w:p>
        </w:tc>
        <w:tc>
          <w:tcPr>
            <w:tcW w:w="88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ADS</w:t>
            </w:r>
          </w:p>
        </w:tc>
        <w:tc>
          <w:tcPr>
            <w:tcW w:w="0" w:type="dxa"/>
            <w:vAlign w:val="bottom"/>
          </w:tcPr>
          <w:p>
            <w:pPr>
              <w:spacing w:after="0"/>
              <w:rPr>
                <w:sz w:val="1"/>
                <w:szCs w:val="1"/>
                <w:color w:val="auto"/>
              </w:rPr>
            </w:pPr>
          </w:p>
        </w:tc>
      </w:tr>
      <w:tr>
        <w:trPr>
          <w:trHeight w:val="144"/>
        </w:trPr>
        <w:tc>
          <w:tcPr>
            <w:tcW w:w="76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740" w:type="dxa"/>
            <w:vAlign w:val="bottom"/>
            <w:tcBorders>
              <w:top w:val="single" w:sz="8" w:color="auto"/>
            </w:tcBorders>
          </w:tcPr>
          <w:p>
            <w:pPr>
              <w:ind w:left="260"/>
              <w:spacing w:after="0" w:line="144" w:lineRule="exact"/>
              <w:rPr>
                <w:sz w:val="20"/>
                <w:szCs w:val="20"/>
                <w:color w:val="auto"/>
              </w:rPr>
            </w:pPr>
            <w:r>
              <w:rPr>
                <w:rFonts w:ascii="Times New Roman" w:cs="Times New Roman" w:eastAsia="Times New Roman" w:hAnsi="Times New Roman"/>
                <w:sz w:val="14"/>
                <w:szCs w:val="14"/>
                <w:b w:val="1"/>
                <w:bCs w:val="1"/>
                <w:u w:val="single" w:color="auto"/>
                <w:color w:val="auto"/>
              </w:rPr>
              <w:t>Percent</w:t>
            </w:r>
          </w:p>
        </w:tc>
        <w:tc>
          <w:tcPr>
            <w:tcW w:w="520" w:type="dxa"/>
            <w:vAlign w:val="bottom"/>
          </w:tcPr>
          <w:p>
            <w:pPr>
              <w:spacing w:after="0"/>
              <w:rPr>
                <w:sz w:val="12"/>
                <w:szCs w:val="12"/>
                <w:color w:val="auto"/>
              </w:rPr>
            </w:pPr>
          </w:p>
        </w:tc>
        <w:tc>
          <w:tcPr>
            <w:tcW w:w="880" w:type="dxa"/>
            <w:vAlign w:val="bottom"/>
          </w:tcPr>
          <w:p>
            <w:pPr>
              <w:jc w:val="center"/>
              <w:ind w:right="188"/>
              <w:spacing w:after="0" w:line="144" w:lineRule="exact"/>
              <w:rPr>
                <w:sz w:val="20"/>
                <w:szCs w:val="20"/>
                <w:color w:val="auto"/>
              </w:rPr>
            </w:pPr>
            <w:r>
              <w:rPr>
                <w:rFonts w:ascii="Times New Roman" w:cs="Times New Roman" w:eastAsia="Times New Roman" w:hAnsi="Times New Roman"/>
                <w:sz w:val="14"/>
                <w:szCs w:val="14"/>
                <w:b w:val="1"/>
                <w:bCs w:val="1"/>
                <w:color w:val="auto"/>
              </w:rPr>
              <w:t>of US$)</w:t>
            </w:r>
          </w:p>
        </w:tc>
        <w:tc>
          <w:tcPr>
            <w:tcW w:w="1240" w:type="dxa"/>
            <w:vAlign w:val="bottom"/>
            <w:gridSpan w:val="2"/>
          </w:tcPr>
          <w:p>
            <w:pPr>
              <w:ind w:left="260"/>
              <w:spacing w:after="0" w:line="144" w:lineRule="exact"/>
              <w:rPr>
                <w:sz w:val="20"/>
                <w:szCs w:val="20"/>
                <w:color w:val="auto"/>
              </w:rPr>
            </w:pPr>
            <w:r>
              <w:rPr>
                <w:rFonts w:ascii="Times New Roman" w:cs="Times New Roman" w:eastAsia="Times New Roman" w:hAnsi="Times New Roman"/>
                <w:sz w:val="14"/>
                <w:szCs w:val="14"/>
                <w:b w:val="1"/>
                <w:bCs w:val="1"/>
                <w:u w:val="single" w:color="auto"/>
                <w:color w:val="auto"/>
              </w:rPr>
              <w:t>Percent</w:t>
            </w:r>
          </w:p>
        </w:tc>
        <w:tc>
          <w:tcPr>
            <w:tcW w:w="60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Existing shareholders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Total</w:t>
      </w:r>
    </w:p>
    <w:p>
      <w:pPr>
        <w:spacing w:after="0" w:line="20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discussion and tables above also assume no exercise of (i) any share options outstanding under the 2023 Plan as of the date of this prospectus; and (ii) the Yunyang Warrants. As of the date of this prospectus, there are 79,479,455 Class A ordinary shares issuable upon exercise of outstanding share options, and there are a total of 16,008,298 Class A ordinary shares available for future issuance upon the exercise of grants under the 2023 Plan. As of the same date, Yunyang Warrants to purchase 2,283,479 ordinary shares remain outstanding. To the extent that any of these share options and warrants are exercised, there will be further dilution to new investors in our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because of certain benefits associated with being a Cayman Islands exempted company, such as:</w:t>
      </w:r>
    </w:p>
    <w:p>
      <w:pPr>
        <w:spacing w:after="0" w:line="67"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67" w:lineRule="exact"/>
        <w:rPr>
          <w:sz w:val="20"/>
          <w:szCs w:val="20"/>
          <w:color w:val="auto"/>
        </w:rPr>
      </w:pPr>
    </w:p>
    <w:p>
      <w:pPr>
        <w:ind w:left="10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second amended and restated memorandum and articles of association does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Substantially all of our operations are conducted in China, and substantially all of our assets are located in China. All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as our agent upon whom process may be served in any action brought against us under the securities laws of the United States.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and Haiwen &amp; Partners, our counsel as to PRC law, have advised us, respectively, that there is uncertainty as to whether the courts of the Cayman Islands and China, respectively, would:</w:t>
      </w:r>
    </w:p>
    <w:p>
      <w:pPr>
        <w:spacing w:after="0" w:line="67" w:lineRule="exact"/>
        <w:rPr>
          <w:sz w:val="20"/>
          <w:szCs w:val="20"/>
          <w:color w:val="auto"/>
        </w:rPr>
      </w:pPr>
    </w:p>
    <w:p>
      <w:pPr>
        <w:ind w:left="10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Maples and Calder (Hong Kong) LLP has informed us that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securities laws, it is uncertain whether such judgments would be enforceable in the Cayman Islands. Maples and Calder (Hong Kong) LLP has informed us that although there is no statutory enforcement in the Cayman Islands of judgments obtained in the federal or state courts of the United States (and the Cayman Islands is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(awards of punitive or multiple damages may well be held to be contrary to public policy).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Haiwen &amp; Partners, our PRC legal advisor, that there is uncertainty as to whether the courts of the PRC would enforce judgments of United States courts or Cayman Islands courts obtained against us or these persons predicated upon the civil liability provisions of the United States federal and state securities laws. Haiwen &amp; Partners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for disputes relating to contracts or other property interests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However, it may be difficult for foreign shareholders to establish sufficient nexus to the PRC for a PRC court to have jurisdiction pursuant to the PRC Civil Procedures Law by virtue only of holding the ADSs or Class A ordinary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Corporate History</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current businesses date back to 2012 when we operated through Beijing Souche Network Technology Co., Ltd., or Beijing Souche, a PRC entity incorporated in November 2012. Souche Holdings Ltd, a company incorporated in the Cayman Islands in January 2013, subsequently became the holding company of Beijing Souche. Between 2017 and 2020, Souche Holdings Ltd acquired numerous businesses, such as vehicle inspection and certification services and delivery services, which are important parts of the businesses we operate today. In addition, Souche Holdings Ltd also owned and operated certain vehicle sales and leasing business through a number of other operating entities.</w:t>
      </w:r>
    </w:p>
    <w:p>
      <w:pPr>
        <w:spacing w:after="0" w:line="18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incorporated DSC Holdings Ltd. as our new ultimate holding company in the Cayman Islands in July 2021 and completed a series of transactions, which we refer to collectively as the “Restructuring.” As part of the Restructuring,</w:t>
      </w:r>
    </w:p>
    <w:p>
      <w:pPr>
        <w:spacing w:after="0" w:line="67" w:lineRule="exact"/>
        <w:rPr>
          <w:sz w:val="20"/>
          <w:szCs w:val="20"/>
          <w:color w:val="auto"/>
        </w:rPr>
      </w:pPr>
    </w:p>
    <w:p>
      <w:pPr>
        <w:jc w:val="both"/>
        <w:ind w:left="1080" w:right="2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Souche Holdings Ltd received ordinary shares and/or convertible redeemable preferred shares of DSC Holdings Ltd. such that their equity interests in DSC Holdings Ltd. are in substance the same as their interests in Souche Holdings Ltd immediately prior to the Restructuring;</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series of transactions, DSC Holdings Ltd. acquired the ownership and became the ultimate holding company of the entities through which our current businesses are conducted, namely Hangzhou Dasouche Information Technology Service Co., Ltd., CheYiPai (Beijing) Automotive Technology Service Co., Ltd. and Sichuan Dasouche Software Technology Co., Ltd.; and</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Dasouche Information Technology Service Co., Ltd. and CheYiPai (Beijing) Automotive Technology Service Co., Ltd., which we refer to as WFOEs, have entered into certain contractual arrangements directly with Hangzhou Souche and Beijing Peak, which we refer to as the “VIEs,” and their respective shareholders. See “Corporate History and Structure—Contractual Arrangements with the VIEs and Their Shareholders.”</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Following the Restructuring, (i) DSC Holdings Ltd. became the ultimate holding company of our current business operations; and (ii) the vehicle sales and leasing business remains to be owned and operated by Souche Holdings Ltd.</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shareholding percentages and rights of the shareholders of DSC Holdings Ltd. are identical to their interests in Souche Holdings Ltd immediately before and after the Restructuring. Accordingly, the Restructuring is accounted for as a transaction involving common ownership for financial reporting purposes because the same group of shareholders have identical ownership over the Company before and after the Restructuring.</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August 2023, DSC Holdings Ltd. completed its Series G financing pursuant to which CTZC Limited purchased 24,422,238 Series G preferred shares for a total consideration of RMB300 million. For a description of issuances of our securities, see “Description of Share Capital—History of Securities Issuances.”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significant subsidiaries as that term is defined under Section 1-02 of Regulation S-X under the Securities Act, the VIEs and certain other operating entities,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069330" cy="2177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6933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w w:val="86"/>
              </w:rPr>
              <w:t>Notes: </w:t>
            </w:r>
          </w:p>
        </w:tc>
        <w:tc>
          <w:tcPr>
            <w:tcW w:w="4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10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shareholders of Hangzhou Souche Network Technology Co., Ltd. are Mr. Junhong Yao (92%), our founder, director and chief executive officer, and Mr. Liyu Zhang</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0"/>
              </w:rPr>
              <w:t>          </w:t>
            </w:r>
          </w:p>
        </w:tc>
        <w:tc>
          <w:tcPr>
            <w:tcW w:w="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10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(8%), our co-founder, director and senior vice president.</w:t>
            </w:r>
          </w:p>
        </w:tc>
        <w:tc>
          <w:tcPr>
            <w:tcW w:w="0" w:type="dxa"/>
            <w:vAlign w:val="bottom"/>
          </w:tcPr>
          <w:p>
            <w:pPr>
              <w:spacing w:after="0"/>
              <w:rPr>
                <w:sz w:val="1"/>
                <w:szCs w:val="1"/>
                <w:color w:val="auto"/>
              </w:rPr>
            </w:pPr>
          </w:p>
        </w:tc>
      </w:tr>
      <w:tr>
        <w:trPr>
          <w:trHeight w:val="188"/>
        </w:trPr>
        <w:tc>
          <w:tcPr>
            <w:tcW w:w="46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shareholders of Beijing Peak Technology Co., Ltd. are Mr. Junhong Yao (92%) and Mr. Liyu Zhang (8%).</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Shareholders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Hangzhou Dasouche Information Technology Service Co., Ltd. and CheYiPai (Beijing) Automotive Technology Service Co., Ltd., our PRC subsidiaries, are considered foreign-invested enterprises. Current PRC laws and regulations impose certain restrictions or prohibitions on foreign ownership of companies that engage in value-added telecommunications services and certain other businesses. We are an exempted company incorporated in the Cayman Islands. To comply with PRC laws and regulations, we conduct a substantial portion of our business in China through the VIEs, namely, Hangzhou Souche and Beijing Peak, based on a series of contractual arrangements. These contractual arrangements give us the power to direct the activities that most significantly affect the economic performance of the VIEs, allow us to receive substantially all of the economic benefits of the VIEs and have an exclusive call option to purchase all or part of the equity interests in and/or assets of the VIEs when and to the extent permitted by the relevant laws. As a result of these contractual arrangements, we are considered the primary beneficiary of the VIEs, and therefore combine or consolidate the operating results of the VIEs and their subsidiaries in our financial statements under the U.S. GAAP.</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terms of the contractual arrangements by and among our WFOEs, the VIEs and the shareholders of VIEs. For the complete text of these contractual arrangements, see the copies filed as exhibits to the registration statement filed with the SEC of which this prospectus forms a part.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Exclusive Business Cooperation Agreements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exclusive business cooperation agreements between our WFOEs and the VIEs, our WFOEs have the exclusive right to provide or designate other parties to provide the VIEs with services related to, among other things, technical services, network support, business consultations, equipment or leasing, marketing consultancy, system integration, product research and development and system maintenance. The VIEs agree not to accept any services provided by any third party or cooperate with any third party regarding the matters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ascribed by the exclusive business cooperation agreements without the prior written consent of the WFOEs. The VIEs also agree to pay our WFOEs services fees, the amount of which will be determined, in accordance with applicable PRC laws and pursuant to the provision of the exclusive business cooperation agreements, from time to time, at the sole discretion of the Company’s WFOEs, taking into account multiple factors, including the profit before taxation, working capital requirements, expenses and taxes and operating profit of the VIEs. Our WFOEs have exclusive and proprietary rights and interests in all rights, ownership, interests and intellectual properties created as a result of the performance of the exclusive business cooperation agreements. The exclusive business cooperation agreements will remain effective for an infinite term while that our WFOEs have the right to terminate the agreements in writing.</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Exclusive Equity Interest Option Agreements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exclusive equity interest option agreements by and among our WFOEs, the VIEs and the VIEs’ shareholders, each shareholder of the VIEs has granted an irrevocable and exclusive right to the corresponding WFOEs to purchase or designate one or more persons to purchase their equity interests in the VIEs at any time in part or in whole, at the sole and absolute discretion of the WFOEs, to the extent permitted under PRC law. The purchase price for the equity interests in the VIEs will be the lower of the total capital contribution to the registered capital of the VIEs multiplied by the percentage of equity interests in the VIEs being purchased and the lowest price allowed under PRC law. In the event that the purchase price is higher than RMB1, the shareholders of each of the VIEs agree that any and all proceeds acquired by such shareholders as a result of the exercise of the exclusive right to purchase under the applicable exclusive equity interest option agreements by the respective WFOEs or their designee(s) shall be gifted without compensation to such WFOEs or, as requested by such WFOEs, to their designee(s) in full.</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VIEs and the shareholders of the VIEs jointly and severally covenant that, without prior written consent of our WFOEs, they will not, among others, (1) sell, transfer, dispose, or create any pledge or encumbrance on any equity, assets or business of the VIEs, (2) increase or decrease the VIEs’ registered capital, change its structure of registered capital, or amend the VIEs’ articles of association, (3) vote in favor of any shareholder resolution to declare or distribute any dividends or other distributions, if dividends or other form of assets were distributed, the shareholders are required to transfer all received distribution to the WFOEs or their designees, (4) merge with or acquire other entity or make any investments, (5) enter into any material contracts outside of ordinary course of business, (6) allow the VIEs to incur any borrowings or loans or guarantee in any form, (7) appoint or replace any directors or management which shall be appoint/terminate by the WFOEs to operates the VIEs. The exclusive equity interest option agreements will remain in effect for a term of ten years unless they are terminated in accordance with the provisions of this exclusive equity interest option agreements or relevant agreements separately executed among our WFOEs, the VIEs and the VIEs’ shareholders. At the end of the term, unless the WFOEs decide not to extend the term and provide written notice to the shareholders of the VIEs and the VIEs at least 30 days before the end of the term, the term will be extended an unlimited number of times, with each extension being for a term of five years.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 Pledge Agreements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share pledge agreements by and among our WFOEs, the VIEs and the VIEs’ shareholders, the shareholders of the VIEs have pledged all of their respective equity interests in the VIEs (the “Pledge”) to our WOFEs as security for performance of the obligations of the VIEs and their shareholders under the contractual arrangements through which we consociated the results of the VIEs. The term of the Pledge shall end when the last obligation secured by the Pledge is paid or fully fulfilled.</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WFOEs are entitled to collect dividends and distributable profits on the pledged equity during the effective period of the share pledge agreement. After the completion of the equity pledge registrations, in the event of a breach by the VIEs or their shareholders of their obligations under the foregoing contractual agreements, our WFOEs, as the pledgees, will have the right, but are not obligated, to dispose of the pledged equity interests in accordance with the provision of the share pledge agreements. Once our WFOEs elect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dispose the pledge, the shareholders of our VIEs shall cease to be entitled to any rights or interests associated with the equity interest. The shareholders of the VIEs also agree not to transfer the pledged equity interests, or allow any security interest or other encumbrance on property rights that could affect our WFOEs’ rights and interests in the pledged equity interests, unless approved by our WFOEs in writing during the term of the share pledge agreements.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Proxy Agreement</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voting proxy agreement by and among our WFOEs, the VIEs and the VIEs’ shareholders, each shareholder of the VIEs has authorized the corresponding WFOE, the directors authorized by the WFOE and its successors, and any liquidator replacing the directors of such WFOE, to exercise on behalf of such shareholder all of his or her rights as a shareholder of the VIEs. These rights include, but are not limited to, the right to propose, convene and attend shareholder meetings, exercise voting rights, designate and appoint legal representatives, directors, supervisors, chief executive officers, and other senior management members, sign minutes and file documents with relevant company registries, and exercise voting rights on winding up in accordance with PRC laws and the then-effective articles of association of the VIEs. Each voting proxy agreement is irrevocable and remains in effect for as long as the relevant shareholder or its successor(s) continues to own shares in the VIEs.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Individual Shareholder Undertaking</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individual shareholder undertaking, delivered by each of the shareholder of the VIEs, such shareholder has confirmed and irrevocably covenanted that his equity interests and all the rights or interests attached thereto will be transferred free of charge and unconditionally to the WFOEs or any natural person or legal person designated by the WFOEs in the event of his death or other unforeseen events that render him unable to fulfill his obligations under the contractual arrangements through which we consociated the results of the VIEs. Additionally, each such shareholder has agreed that his spouse does not own and can not dispose of the equity interests and all the rights or interests attached thereto in the VIEs, and has provided certain non-compete undertakings to the Company.</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Spousal Undertaking</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“spousal undertaking” delivered by the spouses of the shareholders of the VIEs, each of such spouses has acknowledged and confirmed the execution of the contractual arrangements through which we consociated the results of the VIEs, and unconditionally and irrevocably agreed that the equity interest and all right or interest attached thereto in the VIEs held by their shareholders shall be disposed of pursuant to the terms of those agreements. In addition, each of such spouses has agreed not to assert any rights over the equity interest and all right or interest attached thereto in the VIEs held by his or her spouses. Furthermore, such spouses have agreed that, in the event that they obtain any equity interest in the VIEs for any reason, they shall be bound by obligations substantially similar to those under the contractual arrangements through which we consociated the results of the VIEs.</w:t>
      </w:r>
    </w:p>
    <w:p>
      <w:pPr>
        <w:spacing w:after="0" w:line="293" w:lineRule="exact"/>
        <w:rPr>
          <w:sz w:val="20"/>
          <w:szCs w:val="20"/>
          <w:color w:val="auto"/>
        </w:rPr>
      </w:pPr>
    </w:p>
    <w:p>
      <w:pPr>
        <w:ind w:left="560" w:right="45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Agreements That Allow Us To Become Primary Beneficiaries Of The VIEs </w:t>
      </w:r>
      <w:r>
        <w:rPr>
          <w:rFonts w:ascii="Times New Roman" w:cs="Times New Roman" w:eastAsia="Times New Roman" w:hAnsi="Times New Roman"/>
          <w:sz w:val="18"/>
          <w:szCs w:val="18"/>
          <w:i w:val="1"/>
          <w:iCs w:val="1"/>
          <w:color w:val="auto"/>
        </w:rPr>
        <w:t>Financial Support Undertaking Letter</w:t>
      </w: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financial support undertaking letters addressed to the VIEs, we have undertaken to provide unlimited financial support to the VIEs to the extent permissible under the applicable PRC laws and regulations, regardless of whether the VIE have incurred an operational loss. The financial support can take various forms, including but are not limited to cash transfer, entrusted loans, or borrowings. We will not request repayment of any outstanding loans or borrowings from the VIEs if they or their shareholders do not have sufficient funds or are unable to repay such loans or borrowings. The letter is effective until the earlier of (i) the date on which all of the equity interests of the VIEs have been acquired by us or our designee, and (ii) the date on which we, in our sole and absolute discretion, unilaterally terminate the applicable financial support undertaking letters.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Voting Proxy Agreements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voting proxy agreement entered into between our company and our WFOEs, our WFOEs irrevocably and unconditionally undertakes to exercise its rights under the voting proxy agreements in accordance with our company’s instructions, as may be provided from time to time.</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opinion of our PRC legal advisor, Haiwen &amp; Partners, the contractual arrangements among our WFOEs, VIEs and their shareholders governed by PRC law are currently valid and binding in accordance with applicable PRC laws and regulations currently in effect.</w:t>
      </w:r>
    </w:p>
    <w:p>
      <w:pPr>
        <w:spacing w:after="0" w:line="16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However, our PRC legal advisor has also advised us that there are uncertainties regarding the interpretation and application of current or future PRC laws and regulations by relevant PRC regulatory authorities. Accordingly, the PRC regulatory authorities may ultimately take a view contrary to or otherwise different from the opinion of our PRC legal advisor. It is uncertain whether any new PRC laws or regulations relating to variable interest entity structures will be adopted or if adopted, what they would provide. If we or the VIEs are regarded to be in violation of any existing or future PRC laws or regulations, or fail to obtain or maintain any of the required permits or approvals, the relevant PRC regulatory authorities would have broad discretion to take action in dealing with such violations or failures. See “Risk Factors—Risks Related to Corporate Structure—Uncertainties exist with respect to the interpretation and implementation of the enacted Foreign Investment Law and how it may impact our business, financial condition and results of operations,” “Risk Factors—Risks Related to Corporate Structure—The interpretation and application of current and future PRC laws, regulations, and rules relating to the agreements that establish the VIE structure for our operations in China, including potential future actions by the PRC government, are still evolving, which could affect the enforceability of our contractual arrangements with the VIEs and, consequently, significantly affect our financial condition and results of operations. If the PRC government considers our contractual arrangements, which are governed by PRC law, non-compliant with relevant PRC laws, regulations, and rules, or if these laws, regulations, and rules or the interpretation thereof change in the future, we could be subject to severe penalties or be forced to relinquish our interests in the VIEs,” and “Risk Factors—Risks Related to Our Business and Industry—Failure to obtain licenses, permits and approvals from, or complete filings with, competent regulatory authorities required for our business operations may materially and adversely affect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Significance of the VIEs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company and currently conduct substantially all of our business operations in the PRC through the WFOEs and other PRC subsidiaries and the VIEs, as well as their respective subsidiaries. Hangzhou Dasouche Information Technology Service Co., Ltd. and CheYiPai (Beijing) Automotive Technology Service Co., Ltd. conduct their businesses mainly through Hangzhou Souche and Beijing Peak, namely the VIEs, through a series of contractual arrangements. These business operations account for a significant portion of our businesses operated in the PRC. The VIEs and their subsidiaries generated 61.6%, 46.6% and 45.2% of our total revenues in 2021 and 2022 and for the six months ended June 30, 2023, respectively. As of December 31, 2021 and 2022 and June 30, 2023, the total current assets and non-current assets of the VIEs and their subsidiaries accounted for 78.7%, 63.8% and 60.2% of our total assets, respectively. The VIEs also hold certain key licenses and permits that are necessary for us to conduct our business.</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PRC law, we may provide funding to our WFOEs and other PRC subsidiaries only through capital contributions or loans, and to the VIEs only through loans, subject to satisfaction of applicable government registration and approval requirements. We rely on dividends and other distributions from our WFOEs and other PRC subsidiaries to satisfy part of our liquidity requirement. Our WFOEs that entered into relevant contractual arrangements with the VIEs enjoy the economic interest in the operations of the VIEs in the form of service fees under the contractual arrangements among such WFOEs, the VIEs, and shareholders of VIEs. For risks relating to the fund flows of our China operations, see “Risk Factors—Risks Related to Doing Business in China—PRC regulation of loans to and direct investment in PRC entities by offshore holding companies and regulatory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restriction of currency conversion may restrict or delay us from using the proceeds of this offering to make loans or additional capital contributions to our PRC subsidiaries, which could adversely affect our liquidity and our ability to fund and expand our business.” and “Risk Factors—Risks Related to Corporate Structure—We are a holding company and investors will have ownership in a holding company that does not directly own all of its operation in China. We rely on our WFOEs and other PRC subsidiaries and the VIEs for the operation in PRC. We also rely on dividends and other payments from our WFOEs and other PRC subsidiaries to pay dividends and other cash distributions to our Shareholders, and any limitation on the ability of our WFOEs and other PRC subsidiaries to pay dividends to us could have a material adverse effect on our ability to pay dividends to our shareholders.”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of Funds and Other Assets through Our Organization</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DSC, our Cayman Islands holding company, may transfer cash to its wholly-owned subsidiaries incorporated in the Cayman Islands, the British Virgin Islands, and Hong Kong through capital injections and intra-group loans. Similarly, DSC’s wholly owned subsidiaries in Hong Kong may transfer cash to Hangzhou Dasouche Information Technology Service Co., Ltd. and CheYiPai (Beijing) Automotive Technology Service Co., Ltd., which we refer to collectively as wholly-foreign owned entities in the PRC, or our WFOEs and other PRC subsidiaries, through capital injections and intra-group loans. Cash is also transferred through our organization by way of intra-group transactions to pay for services or goods provided. Additionally, if our WFOEs in the PRC and other PRC subsidiaries, realize accumulated after-tax profits, they may, upon satisfaction of relevant statutory conditions and procedures, pay dividends or distribute earnings to DSC’s Hong Kong subsidiaries as the WFOEs’ shareholders. These Hong Kong subsidiaries may, in turn, transfer cash to their parent companies incorporated in the Cayman Islands or the British Virgin Islands, through dividends or other distributions. With necessary funds, DSC may pay dividends or make other distributions to U.S. investors and service any debt it may have incurred outside of the PRC.</w:t>
      </w:r>
    </w:p>
    <w:p>
      <w:pPr>
        <w:spacing w:after="0" w:line="19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current PRC laws and regulations, we are permitted to transfer funds to the VIEs through loans, rather than through capital contributions, since we do not own equity interests in the VIEs. In 2021 and 2022 and for the six months ended June 30, 2023, the VIEs paid RMB62.5 million, RMB37.1 million (US$5.1 million) and RMB12.6 million (US$1.7 million), respectively, to the WFOEs for certain administrative and delivery services the WFOEs provided to the VIEs, or as intra-group loans provided by the VIEs to the WFOEs meet our their working capital needs. Furthermore, in 2021 and 2022 and for the six months ended June 30, 2023, the WFOEs transferred funds of RMB72.7 million, RMB23.1 million (US$3.2 million) and RMB3.5 million (US$0.5 million), respectively, to the VIEs as payment of certain delivery, marketing and customer engagement solutions provided by VIEs to WFOEs or as intra-group loans provided by the WFOEs to the VIEs to meet their working capital needs. For details, see “Prospectus Summary —Our Summary Combined and Consolidated Financial Data and Operating Data—VIE Consolidating Schedules.” As of the date of this prospectus, none of the WFOEs or our other subsidiaries has paid any dividend or made any distributions to their respective shareholders. DSC has not previously declared or paid any cash dividend or dividend in kind, and has no plan to declare or pay any dividends in the near future. For more details, see “Corporate History and Structure—Transfer of Funds and Other Assets through Our Organization,” “Corporate History and Structure—Regulatory Requirements on Foreign Exchange and the Ability to Transfer Cash Between Entities, Across Borders and to U.S. Investors” and “Corporate History and Structure—Dividends or Distributions Made to the Company and U.S. Investors and Tax Consequences.” We currently have not maintained any cash management policies that dictate the purpose, amount and procedure of cash transfers between the Company, our WFOEs and other PRC subsidiaries, the VIEs, or the investors. Rather, the funds can be transferred in accordance with the applicable laws and regulations in the PRC and other jurisdictions.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or Distributions Made to the Company and U.S. Investors and Tax Consequences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WFOEs and other PRC subsidiaries have not paid any dividends or made any distributions to the Company, and the Company and the VIEs have not paid any dividends or made any distributions to their respective shareholders.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According to the terms of the contractual arrangements that our WFOEs entered into with the VIEs, and the VIEs’ shareholders, our WFOEs have a right to charge the VIEs for services provided to them. These service fees shall be recognized as expenses of the VIEs and their subsidiaries, with a corresponding amount as revenue by our WFOEs and then completely eliminate in consolidation level. For income tax purposes, our WFOEs and VIEs file income tax returns on a separate company basis. The service fees paid are recognized as a tax deduction by VIEs and as revenue by our WFOEs. The PRC’s statutory Enterprise Income Tax (“EIT”) rates is 25%. VIEs and certain their subsidiaries are qualified for preferential EIT rate of 15% or entitled to reduction of taxable income. However, the preferential tax policy is subject to qualification and temporary in nature. It may not be available in a future period when the service fees are really paid.</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in accordance with the PRC Enterprise Income Tax Law, a withholding income tax of 10% is imposed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which could apply to our WFOEs and other PRC subsidiaries. In addition, subject to the passive foreign investment company rules, the gross amount of any distribution that we make to investor with respect to the ADSs or ordinary shares (including any amounts withheld to reflect PRC withholding taxes) will be taxable as a dividend, to the extent paid out of the current or accumulated earnings and profits of us and the VIEs, as determined under United States federal income tax principles. Moreover, if we are considered a PRC tax resident enterprise for tax purposes, any dividends we pay to our overseas shareholders may be regarded as China-sourced income and as a result may be subject to PRC withholding tax. See “Taxation—PRC Taxation” and “Risk Factors—Risks Related to the ADSs and this Offering—If we are classified as a PRC resident enterprise for PRC enterprise income tax purposes, such classification could result in unfavorable tax consequences to us and our non-PRC shareholders and ADS holders.”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Requirements on Foreign Exchange and the Ability to Transfer Cash Between Entities, Across Borders and to U.S. Investors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currently have not maintained any cash management policies that dictate the purpose, amount and procedure of cash transfers between the Company, our WFOEs and other PRC subsidiaries, the VIEs, or investors. Rather, the funds can be transferred in accordance with the applicable PRC laws and regulations. We have adopted cash management policies, pursuant to which transfers of funds used for payroll and social security and tax payments among the Company and its subsidiaries are subject to our internal approval process. Furthermore, the funds will be transferred in accordance with the applicable PRC laws and regulations discussed in this prospectus. To the extent our cash in the business is in the PRC or a PRC entity, the funds may not be available to distribute dividends to our investors, or for other use outside of the PRC, due to oversight on or the regulatory requirements and limitations on the ability of us, our subsidiaries, or the VIEs by the PRC government to transfer cash.</w:t>
      </w:r>
    </w:p>
    <w:p>
      <w:pPr>
        <w:spacing w:after="0" w:line="18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PRC government exerts oversights, in accordance with applicable laws and regulations, on the convertibility of Renminbi into foreign currencies and, in certain cases, the remittance of currency out of China. The majority of the income of us and the VIEs is received in Renminbi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Approval from appropriate government authorities is required if Renminbi is converted into foreign currency and remitted out of China to pay capital expenses such as the repayment of loans denominated in foreign currencies. The PRC government may, in accordance with applicable laws and regulations, impose limitations on access to foreign currencies for current account transactions and if this occurs in the future, we may not be able to pay dividends in foreign currencies to our shareholders.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Relevant PRC laws and regulations permit the PRC companies to pay dividends only out of their retained earnings, if any, as determined in accordance with PRC accounting standards and regulations. Additionally, the Company’s PRC subsidiaries and the VIEs can only distribute dividends upon approval of the shareholders after they have met the PRC requirements for appropriation to the statutory reserves. As a result of these and other PRC laws and regulations, the PRC subsidiaries and the VIEs are restricted to transfer a portion of their net assets to the Company either in the form of dividends, loans or advances. Even though the Company currently does not require any such dividends, loans or advances from the PRC subsidiaries and the VIEs for working capital and other funding purposes, the Company may in the future require additional cash resources from its PRC subsidiaries and the VIEs due to changes in business conditions, to fund future acquisitions and developments, or merely declare and pay dividends to or distributions to the Company’s shareholders.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condensed consolidation schedule and combined financial statements depicting the results of operations, financial position, and cash flows for DSC and the VIEs, see “Prospectus Summary—Our Summary Combined and Consolidated Financial Data and Operating Data—VIE Consolidation Schedule.”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combined and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and “Information Regarding Forward-Looking Statements” included elsewhere in this prospectus. Our fiscal year ends on December 31. Our combined and consolidated financial statements have been prepared in accordance with U.S. GAAP.</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the leading auto commerce enabler in China. We have achieved a market share of over 90% in operating systems among both used car dealers and new car brokers in China in 2022, according to CIC. We empower and enable auto merchants through digitalization solutions and transaction services that digitalize, integrate and optimize key aspects of their operations.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auto merchants we serve include used car dealers, OEMs, authorized dealers, and new car brokers. Our transaction services also involve and benefit thousands of collaborators to auto merchants, such as inspectors, transporters, financial institutions and so 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executed a clear and focused growth strategy laid out by our founders in 2013:</w:t>
      </w:r>
    </w:p>
    <w:p>
      <w:pPr>
        <w:spacing w:after="0" w:line="131"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streamline auto merchants’ day-to-day operations through digitalization solutions to significantly reduce inefficiencies;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leveraging this foundation of digitalized operating environment, we offer numerous transaction services to further address their business needs and enhance their efficiency and profitability.</w:t>
      </w:r>
    </w:p>
    <w:p>
      <w:pPr>
        <w:spacing w:after="0" w:line="16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provided the industry with what was historically unavailable and transformed tens of thousands of dealers’ inefficient manual processes with digitalized and integrated solutions. In the used car space, we provide cloud-based, modulized digitalization solutions to used car dealers.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our flagship digitalization solution for used car dealers, laid the foundation for our competitive advantage and sustained service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 In the new car space, we build for OEMs their customer engagement systems and applications, including storefront management systems, customer-facing mobile applications and mini-programs. We offer new car brokers an integrated operating system and listing platform that address both their daily management and inventory sourcing needs.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Leveraging the digital operating environment that we have created for auto merchants, we offer them and their collaborators numerous transaction services that are easier to access and in higher quality. For used car dealers, our transaction services primarily include B2B transaction facilitation, used car inspection and certification, financial products referral and delivery services. In the new car space, our transaction services primarily include delivery, marketing and sales services, both focusing on assisting OEMs in directly engaging with end consumers.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integration of digitalization solutions and transaction services creates a uniquely strong connection between us and auto merchants, helping us achieve some significant milestones in the past, and will likely continue to propel our growth in the future. This synergistic relationship between our two service offerings, namely, digitalization solutions and transaction services, enables us to offer unparalleled value proposition to auto merchants and their collaborators, strengthens our relationship with our customers and solidifies our market standing.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generated total revenues of RMB387.5 million and RMB565.0 million (US$77.9 million) for the years ended December 31, 2021 and 2022, respectively, representing a year-on-year growth of 45.8%. Our total revenues were RMB208.7 million and RMB353.6 million (US$48.8 million) for the six months ended June 30, 2022 and 2023, respectively, representing a period-to-period growth of 69.4%. We had net losses of RMB445.3 million and RMB390.9 million (US$53.9 million) for the years ended December 31, 2021 and 2022, respectively. We recorded net loss of RMB260.2 million and RMB113.7 million (US$15.7 million) for the six months ended June 30, 2022 and 2023, respectively, representing a decrease in net loss by 56.3%. We recorded adjusted net loss of RMB409.5 million, RMB361.4 million (US$49.8 million), RMB245.3 million and RMB99.3 million (US$13.7 million) in 2021 and 2022 and for the six months ended June 30, 2022 and 2023, respectively. For a reconciliation of adjusted net loss to net loss, see “—Non-GAAP Financial Measure.”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Factors Affecting Our Results of Operations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results of operations are influenced by general factors affecting the overall growth and prosperity of China’s auto commerce industry, including:</w:t>
      </w:r>
    </w:p>
    <w:p>
      <w:pPr>
        <w:spacing w:after="0" w:line="67"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overall economic growth;</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car parc level and demand for used and new cars;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China’s auto commerce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adoption and acceptance of digitalization solutions by industry participants;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industry participants’ businesses and changes in their spending patterns;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marketing demand for diverse transaction services;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initiatives and incentives affecting the automobile industry in China.</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changes in the overall industry conditions, as well as our ability to adapt to such changes, may have a material impact on our business and overall performance.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Specific Factors Affecting Our 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financial position and results of operations also depend on a number of company-specific factors, including:</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ability to retain existing and attract new customers</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amassed a large and diversified customer base covering a wide spectrum of auto merchants. We believe our operating results and growth prospects will depend on our ability to retain existing and attract new customers as well as expand their use of our services. The synergies between our digitalization solutions and transaction services have enabled us to offer unparalleled value proposition to auto merchants which generates strong word-of-mouth referrals from customers and allows us to attract new customers and increase our share of our customers’ wallets. As a strong testament to the deep relationships we have built with our customers, 55 out of the top 100 used car dealers in China (based on information published by China Automobile Dealers Association) have used our services for more than five years, and 80 out of such used car dealers have used our services for more than two years, as of June 30, 2023. In 2022, we had 22,794 monetized dealers and brokers, a 43.2% increase from 15,922 monetized dealers and brokers in 2021. In the six months ended June 30, 2023, we had 17,522 monetized dealers and brokers, a 24.7% increase from 14,050 monetized dealers and brokers in the same period of 2022. “Monetized dealers and brokers” are defined as used car dealers and/or new car brokers, from whom we generate revenues either directly from fees received from such dealers and/or brokers or indirectly from their collaborators, including used car dealers and new car brokers using our financial products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referral services where we receive our fees from the financial institutions, rather than from the used car dealers and new car brokers. In addition to word-of-mouth referrals, we also intend to improve the breadth and quality of our offerings, and enhance our brand recognition, which will empower us to retain existing and attract new customers as well as expand their adoption of our services.</w:t>
      </w:r>
    </w:p>
    <w:p>
      <w:pPr>
        <w:spacing w:after="0" w:line="282" w:lineRule="exact"/>
        <w:rPr>
          <w:sz w:val="20"/>
          <w:szCs w:val="20"/>
          <w:color w:val="auto"/>
        </w:rPr>
      </w:pPr>
    </w:p>
    <w:p>
      <w:pPr>
        <w:ind w:left="560" w:right="280"/>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entrench our leadership in digitalization solutions for auto merchants in China and expand the monetization of our digitalization solutions</w:t>
      </w:r>
    </w:p>
    <w:p>
      <w:pPr>
        <w:spacing w:after="0" w:line="5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sustained revenue growth depends on our ability to maintain and enhance our leadership in digitalization solutions and expand the monetization of these solutions.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Our digitalization solutions serve a diverse range of auto merchants. We have achieved a market share of over 90% for operating systems among used car dealers and new car brokers, according to CIC. As a trusted brand among auto dealers, we have a stronger position to attract dealers than new market entrants do. Our efforts are focused on developing new features and functionalities that enhance the digitalization and efficiency of car dealers’ operations, enhancing the integration of our digitalization solutions into the daily operations of used car dealers. This strategy increases their stickiness to our digitalization solutions, which, in turn, paves the way for us to explore and expand monetization opportunities. We started to sell subscription packages to car dealers on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in October 2021, which has already begun contributing to our revenue growth. We expect that the monetization of digitalization solutions will continue to generate increasing revenues. In 2022, we have a total of 3,720 new subscribing used car dealers for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increasing from 1,092 in 2021. Additionally, we have successfully assisted over 36 OEMs in developing their direct sales models, allowing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to communicate and transact directly with consumers.</w:t>
      </w:r>
    </w:p>
    <w:p>
      <w:pPr>
        <w:spacing w:after="0" w:line="188"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market penetration, innovative offerings, and advanced technological capabilities will further enhance our customer acquisition efforts, reinforce our leadership in digitalization solutions and allow us to further monetize our digitalization solutions.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ability to increase adoption of our transaction services by customers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ability to drive revenue growth in the future depends on our ability to increase transaction service volume and drive the adoption of our transaction services among auto merchants and collaborators.</w:t>
      </w:r>
    </w:p>
    <w:p>
      <w:pPr>
        <w:spacing w:after="0" w:line="16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Transaction services have historically contributed significantly to our total revenue growth. We generated 69.3%, 64.4% and 78.7% of our total revenues, respectively, from transaction services in 2021 and 2022 and for the six months ended June 30, 2023. In addition, the ARPU of our monetized dealers and brokers increased by 14.6% from RMB8,967 in 2021 to RMB10,276 in 2022, based on total revenues of RMB142.8 million and RMB234.2 million, respectively, generated from the transactions with such dealers and brokers in 2021 and 2022. The ARPU of our monetized dealers and brokers increased by 65.5% from RMB6,335 for the six months ended June 30, 2022 to RMB10,482 for the same period of 2023, based on total revenues of RMB89.0 million and RMB183.7 million, respectively, generated from the transactions with such dealers and brokers for the same periods. The amounts of revenues used to calculate ARPU exclude revenues from delivery services, customer engagement solutions, and marketing and sales services which we provide predominantly to OEMs. As of June 30, 2023, we partnered with over 3,000 inspectors based in 249 cities, over 3,900 logistics companies, over 80 financing partners, and over 70 warehouses. In 2022, our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platform facilitated 141,046 vehicle transactions, making us the largest used cars B2B marketplace in China in terms of online transaction volume, according to CIC. According to the same source, we are also China’s largest used car inspection and certification service provider with an inspection volume of 802,570 in 2022, and operated China’s largest single car delivery network with a delivery volume of 78,711 in 2022. We will continue to expand the scope of our transaction services to enable auto merchants to complete more vehicle transactions easily and cost-effectively. We will also actively promote cross-selling and up-selling of our transaction services to our existing customers. We expect these initiatives to help us increase the adoption of our transaction services among auto merchants, which ultimately contributes to our long-term revenue growth and profitability.</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ability to manage operating costs and expenses</w:t>
      </w:r>
    </w:p>
    <w:p>
      <w:pPr>
        <w:spacing w:after="0" w:line="11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our ability to manage our operating costs and expenses. Our cost of revenues consists primarily of (i) the fees paid to third parties relating to delivering our various transaction services to our customers; and (ii) personnel costs. Through our increased economies of scale and effective cost control initiatives, we were able to reduce our cost of revenues as a percentage of total revenues from 81.0% in 2021 to 66.0% in 2022. Our cost of revenues as a percentage of total revenues also decreased from 69.4% for the six months ended June 30, 2022 to 62.4% for the six months ended June 30, 2023.</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operating expenses consist primarily of (i) sales and marketing expenses; (ii) general and administrative expenses; and (iii) research and development expenses. While our operating expenses increased by 9.2% for the year ended December 31, 2021 to for the year ended December 31, 2022, our operating expenses as a percentage of total revenues decreased from 136.9% to 102.5% during the same periods. Furthermore, our operating expenses as a percentage of total revenues decreased from 156.1% for the six months ended June 30, 2022 to 69.5% for the six months ended June 30, 2023. This reduction is a testament to the effectiveness of our efforts to improve our operational efficiency and productivity, as well as our increased economies of scale.</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also expect to incur significant share-based compensation upon the completion of this offering. As of the date of this prospectus, we have issued options to acquire 79,479,455 ordinary shares of our company under the 2023 Plan. We have also issued certain warrants as incentives to certain key employees of Yunyang. For details, see “Management” As the completion of this offering is a condition to the vesting of these options and warrants, such condition will be met upon the date of the completion of this offering. Therefore, we expect to record a significant amount of cumulative share-based compensation expenses for such options and warrants upon the completion of this offering. If such condition were to have been satisfied as of June 30, 2023, we would have recognized share-based compensation expenses of RMB119.8 million (US$16.5 million) for those options and warrants for which service condition were satisfied as of such date.</w:t>
      </w:r>
    </w:p>
    <w:p>
      <w:pPr>
        <w:spacing w:after="0" w:line="189"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Looking forward, we anticipate that our operational efficiency will further improve as we expand our business and capitalize on economies of scale. In addition, we plan to increase our cross-selling and up-selling initiatives to optimize our sales and marketing performance. Over the long term, we are dedicated to consistently</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evaluating and enhancing our cost and expense management strategies to maintain our agility and competitiveness in the market.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generate our revenues from two sources: (i) digitalization solutions; and (ii) transaction services. The table below provides a breakdown of our revenues, in absolute amounts and as a percentage of total revenues,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70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8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8"/>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Digitalization solutions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118,886</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201,124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27,736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66,249</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75,204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268,599</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363,832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50,175</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142,478</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68.3</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278,373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38,390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387,485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564,956</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77,911</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208,727</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353,577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48,760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Digitalization solutions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generate digitalization solutions revenue from two sources: (i) the subscription fees received from used car dealers and new car brokers for the digitalization solutions delivered through our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Chehang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168 </w:t>
      </w:r>
      <w:r>
        <w:rPr>
          <w:rFonts w:ascii="Times New Roman" w:cs="Times New Roman" w:eastAsia="Times New Roman" w:hAnsi="Times New Roman"/>
          <w:sz w:val="18"/>
          <w:szCs w:val="18"/>
          <w:color w:val="auto"/>
        </w:rPr>
        <w:t>platforms; and (ii) the fees we receive for the customer engagement solutions we provide to OEMs. Currently, we are in the early stages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monetizing the digitalization solutions offered to car dealers, and the majority of our digitalization solutions revenue is derived from the fees we receive from OEMs. Currently, we generate most of our digitalization solutions revenue from customer engagement solutions.</w:t>
      </w:r>
    </w:p>
    <w:p>
      <w:pPr>
        <w:spacing w:after="0" w:line="173"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We adopt a “freemium” model for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xml:space="preserve"> where used car dealers and new car brokers pay an annual subscription fee for advanced functions while most of the other modules are offered for free. The subscriptions are usually for a one-year term and used car dealers and new car brokers may choose to renew annually.</w:t>
      </w:r>
    </w:p>
    <w:p>
      <w:pPr>
        <w:spacing w:after="0" w:line="17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started to sell subscription packages to car dealers on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in October 2021, which has already begun contributing to our revenue growth. We expect that the monetization of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will continue to generate increasing revenues. We are committed to adapting our monetization model to align with market trends and identifying new opportunities to monetize our digitalization solutions as we further grow our business and develop our customer base.</w:t>
      </w:r>
    </w:p>
    <w:p>
      <w:pPr>
        <w:spacing w:after="0" w:line="18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customer engagement solutions for OEMs involve developing digital systems and applications to help them manage the entire spectrum of their interactions with customers, from leads conversion, to order-driven manufacturing, car delivery and after-sales services, all centering on direct customer engagement. We generate revenue from customer engagement solutions to OEMs primarily on a project basis, with additional long-term revenue from certain related services such as application management and system maintenance.</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Transaction services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offer a wide range of transaction services to car dealers, OEMs and other types of auto merchants to facilitate their vehicle-related transactions.</w:t>
      </w:r>
    </w:p>
    <w:p>
      <w:pPr>
        <w:spacing w:after="0" w:line="65" w:lineRule="exact"/>
        <w:rPr>
          <w:sz w:val="20"/>
          <w:szCs w:val="20"/>
          <w:color w:val="auto"/>
        </w:rPr>
      </w:pPr>
    </w:p>
    <w:p>
      <w:pPr>
        <w:jc w:val="both"/>
        <w:ind w:left="1080" w:hanging="532"/>
        <w:spacing w:after="0" w:line="25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B2B transaction facilitation services</w:t>
      </w:r>
      <w:r>
        <w:rPr>
          <w:rFonts w:ascii="Times New Roman" w:cs="Times New Roman" w:eastAsia="Times New Roman" w:hAnsi="Times New Roman"/>
          <w:sz w:val="18"/>
          <w:szCs w:val="18"/>
          <w:color w:val="auto"/>
        </w:rPr>
        <w:t>. Our B2B transaction facilitation services help used car dealers more efficiently source supply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sell inventories to, other dealers. We offer both a “light-touch” platform through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where dealers can freely list their for-sale inventories by posting certain essential information about them, and a “heavy-touch” online auction platform called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where dealers buy used cars from other dealers through a highly managed process. We do not charge fee for sales completed through “light-touch” platform and charge a fee calculated at a certain percentage of the total sales price for the car sales transaction completed through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services</w:t>
      </w:r>
      <w:r>
        <w:rPr>
          <w:rFonts w:ascii="Times New Roman" w:cs="Times New Roman" w:eastAsia="Times New Roman" w:hAnsi="Times New Roman"/>
          <w:sz w:val="18"/>
          <w:szCs w:val="18"/>
          <w:color w:val="auto"/>
        </w:rPr>
        <w:t>. We provide delivery services to facilitate used car dealers’ inventory sourcing from dealers in other regions. Our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 delivery services consist primarily of title transfer and transportation services. Our title transfer services involve handling of title transfer and related documents for our customers. We charge service fees for our used car delivery services, the amount of which generally varies based on service complexity and transportation distance, among other factors. Our delivery service to new car merchants, primarily OEMs, is aimed at offering the consumer-facing delivery infrastructure for direct-to-consumers (DTC) car sales. For our new car delivery services, we typically charge fees primarily based on transportation mileage, number of days in warehouse, and special requests. Delivery services accounted for the largest portion of our transaction services revenues in 2021 and 2022 and for the six months ended June 30, 2023.</w:t>
      </w:r>
    </w:p>
    <w:p>
      <w:pPr>
        <w:spacing w:after="0" w:line="90" w:lineRule="exact"/>
        <w:rPr>
          <w:rFonts w:ascii="Times New Roman" w:cs="Times New Roman" w:eastAsia="Times New Roman" w:hAnsi="Times New Roman"/>
          <w:sz w:val="18"/>
          <w:szCs w:val="18"/>
          <w:color w:val="auto"/>
        </w:rPr>
      </w:pPr>
    </w:p>
    <w:p>
      <w:pPr>
        <w:jc w:val="both"/>
        <w:ind w:left="1080" w:right="20" w:hanging="532"/>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Used car inspection and certification services</w:t>
      </w:r>
      <w:r>
        <w:rPr>
          <w:rFonts w:ascii="Times New Roman" w:cs="Times New Roman" w:eastAsia="Times New Roman" w:hAnsi="Times New Roman"/>
          <w:sz w:val="18"/>
          <w:szCs w:val="18"/>
          <w:color w:val="auto"/>
        </w:rPr>
        <w:t>. We provide industry-leading used car inspection and certification services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brand 268V. We charge a variable fee for each inspection, depending on the complexity and thoroughness of the inspections performed.</w:t>
      </w:r>
    </w:p>
    <w:p>
      <w:pPr>
        <w:spacing w:after="0" w:line="78" w:lineRule="exact"/>
        <w:rPr>
          <w:rFonts w:ascii="Times New Roman" w:cs="Times New Roman" w:eastAsia="Times New Roman" w:hAnsi="Times New Roman"/>
          <w:sz w:val="18"/>
          <w:szCs w:val="18"/>
          <w:color w:val="auto"/>
        </w:rPr>
      </w:pPr>
    </w:p>
    <w:p>
      <w:pPr>
        <w:jc w:val="both"/>
        <w:ind w:left="1080" w:right="20" w:hanging="532"/>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products referral services</w:t>
      </w:r>
      <w:r>
        <w:rPr>
          <w:rFonts w:ascii="Times New Roman" w:cs="Times New Roman" w:eastAsia="Times New Roman" w:hAnsi="Times New Roman"/>
          <w:sz w:val="18"/>
          <w:szCs w:val="18"/>
          <w:color w:val="auto"/>
        </w:rPr>
        <w:t>. Our financial products referral services involve connecting financial institutions directly with used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dealers who then recommend financial products to a buying consumer. We receive a commission from financial institutions based on the loan amounts achieved through our referral services. We have experienced significant growth in our financial products referral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services since launch and expect to continue to experience strong growth in the revenue from such services in the foreseeable future.</w:t>
      </w:r>
    </w:p>
    <w:p>
      <w:pPr>
        <w:spacing w:after="0" w:line="129" w:lineRule="exact"/>
        <w:rPr>
          <w:sz w:val="20"/>
          <w:szCs w:val="20"/>
          <w:color w:val="auto"/>
        </w:rPr>
      </w:pPr>
    </w:p>
    <w:p>
      <w:pPr>
        <w:ind w:left="1080" w:right="20" w:hanging="532"/>
        <w:spacing w:after="0" w:line="284"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services. </w:t>
      </w:r>
      <w:r>
        <w:rPr>
          <w:rFonts w:ascii="Times New Roman" w:cs="Times New Roman" w:eastAsia="Times New Roman" w:hAnsi="Times New Roman"/>
          <w:sz w:val="18"/>
          <w:szCs w:val="18"/>
          <w:color w:val="auto"/>
        </w:rPr>
        <w:t>We also charge fees to customers for a range of additional transaction services, such as marketing and sales services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OEMs. The amounts of these fees vary based on the type and nature of the services provided.</w:t>
      </w:r>
    </w:p>
    <w:p>
      <w:pPr>
        <w:spacing w:after="0" w:line="16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Currently, a substantial portion of our total revenue is generated by offering transaction services. We expect our transaction services revenue to further increase, in absolute terms and as a percentage of our total revenue, in the near future, as we expand our addressable market and increase the penetration of our transaction services.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Looking forward, we aim to expand and improve our breadth of services and offerings by continuing to integrate our dealership systems and services and integrating data across different systems and services, while continuing to improve our data analytics capabilities and technology to enhance transaction efficiency. We expect these efforts to further drive the growth of our transaction services revenue.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&amp; Gross Margin</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cost of revenues in absolute amount by business line and as a percentage of our total revenues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gridSpan w:val="2"/>
          </w:tcPr>
          <w:p>
            <w:pPr>
              <w:spacing w:after="0"/>
              <w:rPr>
                <w:sz w:val="12"/>
                <w:szCs w:val="12"/>
                <w:color w:val="auto"/>
              </w:rPr>
            </w:pPr>
          </w:p>
        </w:tc>
        <w:tc>
          <w:tcPr>
            <w:tcW w:w="3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8"/>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6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Cost of revenues:</w:t>
            </w:r>
          </w:p>
        </w:tc>
        <w:tc>
          <w:tcPr>
            <w:tcW w:w="25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Digitalization solutions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94,632</w:t>
            </w:r>
          </w:p>
        </w:tc>
        <w:tc>
          <w:tcPr>
            <w:tcW w:w="14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123,105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16,977</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44,186</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21.2</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38,903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5,365</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219,302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56.6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249,991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34,475</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100,629</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17.8</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181,810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25,073</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313,934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81.0</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373,096</w:t>
            </w: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51,452</w:t>
            </w:r>
          </w:p>
        </w:tc>
        <w:tc>
          <w:tcPr>
            <w:tcW w:w="1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144,815</w:t>
            </w:r>
          </w:p>
        </w:tc>
        <w:tc>
          <w:tcPr>
            <w:tcW w:w="160" w:type="dxa"/>
            <w:vAlign w:val="bottom"/>
          </w:tcPr>
          <w:p>
            <w:pPr>
              <w:spacing w:after="0"/>
              <w:rPr>
                <w:sz w:val="20"/>
                <w:szCs w:val="20"/>
                <w:color w:val="auto"/>
              </w:rPr>
            </w:pPr>
          </w:p>
        </w:tc>
        <w:tc>
          <w:tcPr>
            <w:tcW w:w="4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69.4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220,713</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30,438</w:t>
            </w:r>
          </w:p>
        </w:tc>
        <w:tc>
          <w:tcPr>
            <w:tcW w:w="1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Gross profit and gross margin:</w:t>
            </w:r>
          </w:p>
        </w:tc>
        <w:tc>
          <w:tcPr>
            <w:tcW w:w="16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Digitalization solutions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24,254</w:t>
            </w:r>
          </w:p>
        </w:tc>
        <w:tc>
          <w:tcPr>
            <w:tcW w:w="14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78,019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10,760</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22,063</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33.3</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36,301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5,006</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49,297</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18.4</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113,841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15,699</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41,849</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29.4</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96,563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13,316</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3"/>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profit/Gross margin</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73,551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19.0</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191,860</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26,459</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63,912</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30.6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132,864</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18,322</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left="1080" w:right="20" w:hanging="532"/>
        <w:spacing w:after="0" w:line="26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Digitalization solutions</w:t>
      </w:r>
      <w:r>
        <w:rPr>
          <w:rFonts w:ascii="Times New Roman" w:cs="Times New Roman" w:eastAsia="Times New Roman" w:hAnsi="Times New Roman"/>
          <w:sz w:val="18"/>
          <w:szCs w:val="18"/>
          <w:color w:val="auto"/>
        </w:rPr>
        <w:t>. Our cost of revenues for digitalization solutions primarily includes costs related to the customer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solutions offered to OEMs and the maintenance and hosting of our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xml:space="preserve"> platforms. This encompasses</w:t>
      </w:r>
    </w:p>
    <w:p>
      <w:pPr>
        <w:jc w:val="both"/>
        <w:ind w:left="1080" w:right="20" w:firstLine="8"/>
        <w:spacing w:after="0" w:line="255" w:lineRule="auto"/>
        <w:tabs>
          <w:tab w:leader="none" w:pos="130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personnel costs associated with our employees responsible for developing and delivering customer engagement solutions to OEMs; and (ii) to a lesser extent, fees paid for bandwidth and other technical support and services, such as digital mapping and location-based features, used in our digitalization solutions.</w:t>
      </w:r>
    </w:p>
    <w:p>
      <w:pPr>
        <w:spacing w:after="0" w:line="89" w:lineRule="exact"/>
        <w:rPr>
          <w:rFonts w:ascii="Times New Roman" w:cs="Times New Roman" w:eastAsia="Times New Roman" w:hAnsi="Times New Roman"/>
          <w:sz w:val="18"/>
          <w:szCs w:val="18"/>
          <w:color w:val="auto"/>
        </w:rPr>
      </w:pPr>
    </w:p>
    <w:p>
      <w:pPr>
        <w:jc w:val="both"/>
        <w:ind w:left="1080" w:right="20" w:hanging="532"/>
        <w:spacing w:after="0" w:line="258"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 services</w:t>
      </w:r>
      <w:r>
        <w:rPr>
          <w:rFonts w:ascii="Times New Roman" w:cs="Times New Roman" w:eastAsia="Times New Roman" w:hAnsi="Times New Roman"/>
          <w:sz w:val="18"/>
          <w:szCs w:val="18"/>
          <w:color w:val="auto"/>
        </w:rPr>
        <w:t>. Our cost of revenues for transaction services primarily includes: (i) service fees paid to third-party service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fulfilling various transaction services for car dealers and OEMs, such as fees paid to third-party carriers and logistics companies for fulfilling car shipping orders for our customers, as well as fees paid to third-party inspectors for performing used car inspection and certification services; (ii) rental costs associated with the warehouses used for our delivery services; and (iii) costs associated with our marketing and sales services delivered to OEMs.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general and administrative expenses and research and development expenses. The following table sets forth a breakdown of our operating expenses, both in absolute amounts and as percentages of our total revenues, for the years indicated.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70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940" w:type="dxa"/>
            <w:vAlign w:val="bottom"/>
            <w:tcBorders>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4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7"/>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6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213,379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255,922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35,293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144,563</w:t>
            </w: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125,566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17,316</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128,256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205,345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28,318</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109,713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80,492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11,100</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188,745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117,905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16,260</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71,315</w:t>
            </w: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39,654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5,469</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530,380</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579,172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79,871</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325,591</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156.1</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245,712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33,885</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69.5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consist primarily of personnel costs, mainly including salaries and benefits for our sales and marketing teams and expenses associated with marketing and promotional activities, such as those associated with brand building, customer outreach and other promotional events. It also includes, to a lesser extent, rental and office administrative expenses and others, including depreciation and amortization.</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As we plan to continue to invest in sales and marketing to promote our brand awareness as well as retain current customers while attracting new ones, we expect our sales and marketing expenses to increase in absolute amount in the near future.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(i) personnel costs, including salaries and benefits for our administrative staff; (ii) fees paid to auditors and external legal counsels, as well as fees paid to third parties to whom we outsource some of our human resources and IT functions; (iii) rental and office administrative expenses; and (iv) other expenses, such as depreciation and amortization. We expect general and administrative expenses to increase in absolute amount as we continue to scale our business.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(i) personnel costs, including salaries and benefits for our research and development staff; (ii) expenses incurred to procure third-party R&amp;D and other professional services; and (iii) depreciation and amortization. We invest heavily in technology in the past. For details, see “Business—Our Data Capabilities and Technologies.”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income / (expenses) primarily consists of (i) interest income (expense), net, which consists mainly of the interest earned on wealth management products we purchased for cash management purposes as well as interest paid on borrowings from commercial banks; (ii) foreign exchange (loss)/income, net, primarily due to fluctuations in foreign exchange rates; and (iii) others, net, consisting mainly of penalties or damages resulting from certain disputes.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use adjusted loss for the year,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Adjusted loss for the year represents net loss for the year excluding share-based compensation expenses and intangible asset amortization, which we do not consider to be indicative of our core operating performance. The table below sets forth a reconciliation of our net loss for the year to adjusted loss for the year for the years indicated.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8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8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76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(GAAP)</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(445,294)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(390,851)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(53,900)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(260,224)</w:t>
            </w:r>
          </w:p>
        </w:tc>
        <w:tc>
          <w:tcPr>
            <w:tcW w:w="11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(113,683)</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(15,678)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2,713</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Intangible asset amortization</w:t>
            </w:r>
            <w:r>
              <w:rPr>
                <w:rFonts w:ascii="Times New Roman" w:cs="Times New Roman" w:eastAsia="Times New Roman" w:hAnsi="Times New Roman"/>
                <w:sz w:val="25"/>
                <w:szCs w:val="25"/>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33,096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29,410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14,948</w:t>
            </w:r>
          </w:p>
        </w:tc>
        <w:tc>
          <w:tcPr>
            <w:tcW w:w="11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14,365</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loss (non-GAAP)</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(409,485)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(361,441)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(49,844)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(245,276)</w:t>
            </w: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(99,318)</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(13,697)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740"/>
        <w:spacing w:after="0"/>
        <w:tabs>
          <w:tab w:leader="none" w:pos="1400" w:val="left"/>
        </w:tabs>
        <w:rPr>
          <w:sz w:val="20"/>
          <w:szCs w:val="20"/>
          <w:color w:val="auto"/>
        </w:rPr>
      </w:pPr>
      <w:r>
        <w:rPr>
          <w:rFonts w:ascii="Times New Roman" w:cs="Times New Roman" w:eastAsia="Times New Roman" w:hAnsi="Times New Roman"/>
          <w:sz w:val="18"/>
          <w:szCs w:val="18"/>
          <w:color w:val="auto"/>
        </w:rPr>
        <w:t>Note: </w:t>
        <w:tab/>
        <w:t>(1) Represents amortization of intangible assets resulting from business combinations.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Some of our subsidiaries are companies incorporated in the British Virgin Islands. Under the current law of the British Virgin Islands, we are not subject to income, corporation or capital gains tax in the British Virgin Islands. In addition, payment of dividends by the British Virgin Islands subsidiaries to their respective shareholders who are not resident in the British Virgin Islands, if any, is not subject to withholding tax in the British Virgin Islands.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subsidiary in Hong Kong is subject to an income tax rate of 16.5% on the estimated assessable profits arising in Hong Kong. Additionally, payments of dividends by our subsidiary in Hong Kong to our company are not subject to any Hong Kong withholding tax.</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current enterprise income tax law (“EIT Law”) applies a uniform 25% EIT rate to both foreign invested enterprises and domestic enterprises, except for domestic enterprises qualified as small and micro enterprises (“MSME”) and High and New Technology Enterprise (“HNTE”). If the entity qualified as a MSME, then its taxable income will be taxed at 20% subject to certain taxable income exemptions. In accordance with the PRC Income Tax Law, an enterprise awarded with the HNTE certificate may enjoy a reduced EIT rate of 15% subject to a requirement that they re-apply for HNTE status every three years.</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EIT Law treats enterprises established outside of the PRC with “effective management and control” located in the PRC as PRC resident enterprises for tax purposes. The term “effective management and control” is generally defined as exercising management and control over the business, personnel, accounting and properties etc. of an enterprise. We are located in jurisdictions outside of the PRC; however, if we are considered a PRC resident enterprise for tax purposes, it would be subject to the PRC enterprise income tax rate of 25% on its worldwide income commencing on January 1, 2008. For the tax years ended December 31, 2021 and 2022, we have not accrued for PRC tax on such basis as our non-PRC entities had zero assessable profits in the PRC for the period. We will continue to monitor the tax status with regards to the PRC tax resident enterprise regulation of its non-PRC entities.</w:t>
      </w:r>
    </w:p>
    <w:p>
      <w:pPr>
        <w:spacing w:after="0" w:line="18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Dividends paid by our wholly foreign-owned subsidiaries in China to our intermediary holding companies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Capital and receives approval from the relevant tax authority. If a Hong Kong subsidiary satisfies all the requirements under the tax arrangement and receives approval from the relevant tax authority, then the dividends paid to the Hong Kong subsidiary would be subject to withholding tax at the standard rate of 5%. See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which requires us to make judgments, estimates and assumptions. We continually evaluate these estimates and assumptions based on the most recent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grant options to our employees with performance conditions and service conditions. We account for share-based compensation in accordance with ASC Topic 718, Compensation-Stock Compensation, (“ASC 718”). We determine whether a share-based award should be accounted for as a liability award or equity award. All of our share-based awards to employees were classified as equity awards and are recognized in the combined and consolidated financial statements based on their grant date fair values. For awards only with service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conditions, we have elected to recognize compensation expense using the straight-line method for awards granted with graded vesting provided that the amount of compensation cost recognized at any date is at least equal to the portion of the grant date value of the shares that are vested at that date. For awards with performance and service conditions, we use the accelerated method for awards granted with graded vesting. We account for forfeitures as they occur.</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employee share options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share options was determined using the binomial option valuation model, with the assistance from an independent third-party appraiser. The binomial model requires the input of highly subjective assumptions, including the expected share price volatility and the exercise multiple.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assumptions used to estimate the fair value of the share options granted to employees were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Pr>
          <w:p>
            <w:pPr>
              <w:spacing w:after="0"/>
              <w:rPr>
                <w:sz w:val="13"/>
                <w:szCs w:val="13"/>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Pr>
          <w:p>
            <w:pPr>
              <w:spacing w:after="0"/>
              <w:rPr>
                <w:sz w:val="13"/>
                <w:szCs w:val="13"/>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June 30, 2023</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40.5-41.2</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41.1-42.2</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2.2-2.8</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2.2-2.8</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an underlying ordinary share (US$)</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0.55-0.63</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0.62-0.65</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10.75-11.5</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9.75-10.25</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fair value of share options was determined using the binomial option valuation model, with the assistance from an independent third-party valuation firm. The binomial model requires the input of highly subjective assumptions, including the expected share price volatility and exercise multiple. For expected volatilities, we have made reference to historical volatilities of several comparable companies. The dividend yield is estimated based on our expected dividend policy over the expected term of the options. The risk-free rate for periods within the contractual lives of the options is based on the market yield of U.S. Treasury Bonds in effect at the time of grant. The exercised multiple is estimated based on the changes in intrinsic value of the options and the likelihood of early exercises by employees. The estimated fair value of the ordinary shares, at the option grant dates, were determined with the assistance from an independent third-party valuation firm. Our management is ultimately responsible for the determination of the estimated fair value of its ordinary shares.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Awards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determine the fair value of our ordinary shares, we first determined the underlying equity value of our company and then allocated a portion of the equity value to our ordinary shares based on their particular rights and preferences using the hybrid return method. To determine the equity value, we used the discounted cash flows (“DCF”) method. The DCF analysis is performed based on the projected cash flows using the Company’s best estimate as of the valuation date. The significant assumptions used in the DCF included projected cash flows and discount rate. The significant assumptions used to determine the fair value of the ordinary shares included the probability of IPO exit event, risk-free rate, equity volatility based on historical volatility of selected peer companies and DLOM.</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Management, with the assistance of an independent third-party valuation firm estimated the grant-date fair value of the restricted share as RMB9.51 per share. We recognized share-based compensation expense of RMB2.7 million, nil and nil for the years ended December 31, 2021 and 2022 and for six months ended June 30, 2023,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ordinary shares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we were a private company with no quoted market prices for our ordinary shares. We therefore needed to make estimates of financial forecast at various dates for the purpose of determining the fair value of our ordinary shares at the date of the grant of share-based compensation awards to our employees as one of the inputs into determining the grant date fair value of the option.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our ordinary shares estimated at various different dates with the assistance from an independent valuation firm.</w:t>
      </w:r>
    </w:p>
    <w:p>
      <w:pPr>
        <w:spacing w:after="0" w:line="17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Discount for lack of</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Valuation</w:t>
            </w:r>
          </w:p>
        </w:tc>
        <w:tc>
          <w:tcPr>
            <w:tcW w:w="116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208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marketability</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Discount Rate</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2080" w:type="dxa"/>
            <w:vAlign w:val="bottom"/>
            <w:gridSpan w:val="2"/>
          </w:tcPr>
          <w:p>
            <w:pPr>
              <w:jc w:val="center"/>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(“DLOM”)</w:t>
            </w: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740" w:type="dxa"/>
            <w:vAlign w:val="bottom"/>
            <w:vMerge w:val="continue"/>
            <w:shd w:val="clear" w:color="auto" w:fill="CCEEFF"/>
          </w:tcPr>
          <w:p>
            <w:pPr>
              <w:spacing w:after="0"/>
              <w:rPr>
                <w:sz w:val="17"/>
                <w:szCs w:val="17"/>
                <w:color w:val="auto"/>
              </w:rPr>
            </w:pPr>
          </w:p>
        </w:tc>
        <w:tc>
          <w:tcPr>
            <w:tcW w:w="2080" w:type="dxa"/>
            <w:vAlign w:val="bottom"/>
            <w:gridSpan w:val="2"/>
            <w:shd w:val="clear" w:color="auto" w:fill="CCEEFF"/>
          </w:tcPr>
          <w:p>
            <w:pPr>
              <w:jc w:val="right"/>
              <w:ind w:right="700"/>
              <w:spacing w:after="0" w:line="203" w:lineRule="exact"/>
              <w:rPr>
                <w:sz w:val="20"/>
                <w:szCs w:val="20"/>
                <w:color w:val="auto"/>
              </w:rPr>
            </w:pPr>
            <w:r>
              <w:rPr>
                <w:rFonts w:ascii="Times New Roman" w:cs="Times New Roman" w:eastAsia="Times New Roman" w:hAnsi="Times New Roman"/>
                <w:sz w:val="18"/>
                <w:szCs w:val="18"/>
                <w:color w:val="auto"/>
              </w:rPr>
              <w:t>18.0%</w:t>
            </w:r>
          </w:p>
        </w:tc>
        <w:tc>
          <w:tcPr>
            <w:tcW w:w="10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0.52</w:t>
            </w:r>
          </w:p>
        </w:tc>
        <w:tc>
          <w:tcPr>
            <w:tcW w:w="20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2023</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0.57</w:t>
            </w:r>
          </w:p>
        </w:tc>
        <w:tc>
          <w:tcPr>
            <w:tcW w:w="20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option-pricing method was used to allocate equity value of our company to preferred and ordinary shares, taking into account the guidance prescribed by the AICPA Audit and Accounting Practice Aid. This method requires making estimates of the anticipated timing of a potential liquidity event, such as a sale of our company or an initial public offering, and estimates of the volatility of our equity securities. The anticipated timing is based on the plans of our board and management. The other major assumptions used in calculating the fair value of ordinary shares include:</w:t>
      </w:r>
    </w:p>
    <w:p>
      <w:pPr>
        <w:spacing w:after="0" w:line="85" w:lineRule="exact"/>
        <w:rPr>
          <w:sz w:val="20"/>
          <w:szCs w:val="20"/>
          <w:color w:val="auto"/>
        </w:rPr>
      </w:pPr>
    </w:p>
    <w:p>
      <w:pPr>
        <w:ind w:left="1080" w:right="2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cost of capital, or WACC: The WACCs were determined in consideration of factors including risk-free rate, comparative industry risk, equity risk premium, company size and non-systematic risk factors.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companies: In deriving the WACCs, which are used as the discount rates under the income approach, certain publicly traded companies in the internet industry were selected for reference as our guideline companies.</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or DLOM: DLOM was quantified by Finnerty model. Under the Finnerty method, which assumed that the put option is struck at the price of the stock before the privately held shares can be sold, the cost of the put option was considered as a basis to determine the DLOM. This option pricing method is one of the methods commonly used in estimating DLOM as it can take into consideration factors such as timing of a liquidity event, for instance an initial public offering, and estimated volatility of our shares. The farther the valuation date is from an expected liquidity event, the higher the put option value is and thus the higher the implied DLOM is. The lower DLOM is used for the valuation, the higher the determined fair value of the ordinary shares becomes. DLOM remained in the range of 18.0% to 13.5% in the period from December 2021 to May 2023.</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determination of the equity value requires complex and subjective judgments to be made regarding prospects of the industry and the products at the valuation date, our projected financial and operating results, our unique business risks and the liquidity of our shares.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our ordinary shares was US$0.46, US$0.52 and US$0.57 as of December 31, 2021, December 31, 2022 and May 31, 2023, respectively. The changes in fair value of our ordinary shares are primarily due to the following reasons.</w:t>
      </w:r>
    </w:p>
    <w:p>
      <w:pPr>
        <w:spacing w:after="0" w:line="65" w:lineRule="exact"/>
        <w:rPr>
          <w:sz w:val="20"/>
          <w:szCs w:val="20"/>
          <w:color w:val="auto"/>
        </w:rPr>
      </w:pPr>
    </w:p>
    <w:p>
      <w:pPr>
        <w:jc w:val="both"/>
        <w:ind w:left="1080" w:right="20" w:hanging="532"/>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Growth of Our Business</w:t>
      </w:r>
      <w:r>
        <w:rPr>
          <w:rFonts w:ascii="Times New Roman" w:cs="Times New Roman" w:eastAsia="Times New Roman" w:hAnsi="Times New Roman"/>
          <w:sz w:val="18"/>
          <w:szCs w:val="18"/>
          <w:color w:val="auto"/>
        </w:rPr>
        <w:t>. Our total revenues increased by 45.8% from RMB387.5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RMB565.0 million (US$77.9 million) for the year ended December 31, 2022. Our total revenues increased by 69.4% from RMB208.7 million for the six months ended June 30, 2022 to RMB353.6 million (US$48.8 million) for the six months ended June 30, 2023. For details, see “—Results of Operations—Year Ended December 31, 2022 Compared to Year Ended December 31, 2021— Revenues” and “—Six Months Ended June 30, 2023 Compared to Six Months Ended June 30, 2022.”</w:t>
      </w:r>
    </w:p>
    <w:p>
      <w:pPr>
        <w:spacing w:after="0" w:line="88" w:lineRule="exact"/>
        <w:rPr>
          <w:rFonts w:ascii="Times New Roman" w:cs="Times New Roman" w:eastAsia="Times New Roman" w:hAnsi="Times New Roman"/>
          <w:sz w:val="18"/>
          <w:szCs w:val="18"/>
          <w:color w:val="auto"/>
        </w:rPr>
      </w:pPr>
    </w:p>
    <w:p>
      <w:pPr>
        <w:jc w:val="both"/>
        <w:ind w:left="1080" w:right="20" w:hanging="532"/>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Improvement in Financial Performance. </w:t>
      </w:r>
      <w:r>
        <w:rPr>
          <w:rFonts w:ascii="Times New Roman" w:cs="Times New Roman" w:eastAsia="Times New Roman" w:hAnsi="Times New Roman"/>
          <w:sz w:val="18"/>
          <w:szCs w:val="18"/>
          <w:color w:val="auto"/>
        </w:rPr>
        <w:t>Our gross margin increased from 19.0% for the year ended December 31,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34.0% for the year ended December 31, 2022. Our gross margin increased from 30.6% for the six months ended June 30, 2022 to 37.6% for the six months ended June 30, 2023. Furthermore, our net loss decreased by 12.2% from RMB445.3 million for the year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20"/>
        <w:spacing w:after="0" w:line="261" w:lineRule="auto"/>
        <w:rPr>
          <w:sz w:val="20"/>
          <w:szCs w:val="20"/>
          <w:color w:val="auto"/>
        </w:rPr>
      </w:pPr>
      <w:r>
        <w:rPr>
          <w:rFonts w:ascii="Times New Roman" w:cs="Times New Roman" w:eastAsia="Times New Roman" w:hAnsi="Times New Roman"/>
          <w:sz w:val="18"/>
          <w:szCs w:val="18"/>
          <w:color w:val="auto"/>
        </w:rPr>
        <w:t>ended December 31, 2021 to RMB390.9 million (US$53.9 million) for the year ended December 31, 2022. Our net loss decreased by 56.3% from RMB260.2 million for the six months ended June 30, 2022 to RMB113.7 million (US$15.7 million) for the six months ended June 30, 2023. For details, see “—Results of Operations—Year Ended December 31, 2022 Compared to Year Ended December 31, 2021” and “—Six Months Ended June 30, 2023 Compared to Six Months Ended June 30, 2022.”</w:t>
      </w:r>
    </w:p>
    <w:p>
      <w:pPr>
        <w:spacing w:after="0" w:line="83" w:lineRule="exact"/>
        <w:rPr>
          <w:sz w:val="20"/>
          <w:szCs w:val="20"/>
          <w:color w:val="auto"/>
        </w:rPr>
      </w:pPr>
    </w:p>
    <w:p>
      <w:pPr>
        <w:jc w:val="both"/>
        <w:ind w:left="1080" w:right="20" w:hanging="532"/>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Decreasing DLOM. </w:t>
      </w:r>
      <w:r>
        <w:rPr>
          <w:rFonts w:ascii="Times New Roman" w:cs="Times New Roman" w:eastAsia="Times New Roman" w:hAnsi="Times New Roman"/>
          <w:sz w:val="18"/>
          <w:szCs w:val="18"/>
          <w:color w:val="auto"/>
        </w:rPr>
        <w:t>The DLOM decreased from 18.0% as of December 31, 2021, to 15.0% as of December 31, 2022, and to 13.5%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2023. As a result of events described above, the discount rate decreased from 16.5% as of December 31, 2021, to 16.0% as of December 31, 2022, and to 15.5% as of May 31, 2023.</w:t>
      </w:r>
    </w:p>
    <w:p>
      <w:pPr>
        <w:spacing w:after="0" w:line="78"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Decreasing WACC</w:t>
      </w:r>
      <w:r>
        <w:rPr>
          <w:rFonts w:ascii="Times New Roman" w:cs="Times New Roman" w:eastAsia="Times New Roman" w:hAnsi="Times New Roman"/>
          <w:sz w:val="18"/>
          <w:szCs w:val="18"/>
          <w:color w:val="auto"/>
        </w:rPr>
        <w:t>. Our estimated WACC decreased from 16.5% as of December 31, 2021, to 16.0% as of December 31, 2022,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15.5% as of May 31, 2023. The decrease in our estimated WACC is primarily attributable to the fact that (i) with a longer operating history, WACC usually exhibits a decreasing trend as a result of the on-going development of the subject company, with a longer track record, less business risk, and less uncertainty in the projection; and (ii) our growing business expansion and improved financial performance indicated stronger performance and higher achievability of the forecast.</w:t>
      </w:r>
    </w:p>
    <w:p>
      <w:pPr>
        <w:spacing w:after="0" w:line="88" w:lineRule="exact"/>
        <w:rPr>
          <w:rFonts w:ascii="Times New Roman" w:cs="Times New Roman" w:eastAsia="Times New Roman" w:hAnsi="Times New Roman"/>
          <w:sz w:val="18"/>
          <w:szCs w:val="18"/>
          <w:color w:val="auto"/>
        </w:rPr>
      </w:pPr>
    </w:p>
    <w:p>
      <w:pPr>
        <w:ind w:left="1080" w:right="20" w:hanging="532"/>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Prospect of IPO. </w:t>
      </w:r>
      <w:r>
        <w:rPr>
          <w:rFonts w:ascii="Times New Roman" w:cs="Times New Roman" w:eastAsia="Times New Roman" w:hAnsi="Times New Roman"/>
          <w:sz w:val="18"/>
          <w:szCs w:val="18"/>
          <w:color w:val="auto"/>
        </w:rPr>
        <w:t>We estimate that the preferred shares issued by us would be converted into ordinary shares upon the completion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The portion of our business enterprise value allocated to ordinary shares increases as this offering becomes more likely.</w:t>
      </w:r>
    </w:p>
    <w:p>
      <w:pPr>
        <w:spacing w:after="0" w:line="16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Once a public trading market of the ADSs has been established in connection with the completion of this offering, it will no longer be necessary for us to estimate the fair value of our ordinary shares in connection with our accounting for granted share options.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Announcements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2—Recent accounting pronouncements” of our combined and consolidated financial statements included elsewhere in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combined and consolidated results of operations, both in absolute amount and as a percentage of total revenues for the years indicated. This information should be read together with our combined and consolidated financial statements and related notes included elsewhere in this prospectus. The following period-to-period comparison of operating results should not be relied upon as being indicative of our future performance.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84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64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spacing w:after="0"/>
              <w:rPr>
                <w:sz w:val="12"/>
                <w:szCs w:val="12"/>
                <w:color w:val="auto"/>
              </w:rPr>
            </w:pPr>
          </w:p>
        </w:tc>
        <w:tc>
          <w:tcPr>
            <w:tcW w:w="46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56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96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7"/>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0" w:type="dxa"/>
            <w:vAlign w:val="bottom"/>
            <w:gridSpan w:val="7"/>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Revenues:</w:t>
            </w: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Digitalization solutions</w:t>
            </w:r>
          </w:p>
        </w:tc>
        <w:tc>
          <w:tcPr>
            <w:tcW w:w="6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118,886</w:t>
            </w:r>
          </w:p>
        </w:tc>
        <w:tc>
          <w:tcPr>
            <w:tcW w:w="18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30.7</w:t>
            </w: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201,124</w:t>
            </w:r>
          </w:p>
        </w:tc>
        <w:tc>
          <w:tcPr>
            <w:tcW w:w="7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27,736</w:t>
            </w:r>
          </w:p>
        </w:tc>
        <w:tc>
          <w:tcPr>
            <w:tcW w:w="6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35.6</w:t>
            </w: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66,249</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31.7</w:t>
            </w:r>
          </w:p>
        </w:tc>
        <w:tc>
          <w:tcPr>
            <w:tcW w:w="1000" w:type="dxa"/>
            <w:vAlign w:val="bottom"/>
            <w:gridSpan w:val="3"/>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75,204</w:t>
            </w:r>
          </w:p>
        </w:tc>
        <w:tc>
          <w:tcPr>
            <w:tcW w:w="8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10,370</w:t>
            </w:r>
          </w:p>
        </w:tc>
        <w:tc>
          <w:tcPr>
            <w:tcW w:w="5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21.3</w:t>
            </w: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Transaction services</w:t>
            </w:r>
          </w:p>
        </w:tc>
        <w:tc>
          <w:tcPr>
            <w:tcW w:w="6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268,599</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69.3</w:t>
            </w: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363,832</w:t>
            </w:r>
          </w:p>
        </w:tc>
        <w:tc>
          <w:tcPr>
            <w:tcW w:w="7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50,175</w:t>
            </w:r>
          </w:p>
        </w:tc>
        <w:tc>
          <w:tcPr>
            <w:tcW w:w="68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64.4</w:t>
            </w: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142,478</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68.3</w:t>
            </w:r>
          </w:p>
        </w:tc>
        <w:tc>
          <w:tcPr>
            <w:tcW w:w="1000" w:type="dxa"/>
            <w:vAlign w:val="bottom"/>
            <w:gridSpan w:val="3"/>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278,373</w:t>
            </w:r>
          </w:p>
        </w:tc>
        <w:tc>
          <w:tcPr>
            <w:tcW w:w="8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38,390</w:t>
            </w:r>
          </w:p>
        </w:tc>
        <w:tc>
          <w:tcPr>
            <w:tcW w:w="5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78.7</w:t>
            </w:r>
          </w:p>
        </w:tc>
        <w:tc>
          <w:tcPr>
            <w:tcW w:w="0" w:type="dxa"/>
            <w:vAlign w:val="bottom"/>
          </w:tcPr>
          <w:p>
            <w:pPr>
              <w:spacing w:after="0"/>
              <w:rPr>
                <w:sz w:val="1"/>
                <w:szCs w:val="1"/>
                <w:color w:val="auto"/>
              </w:rPr>
            </w:pPr>
          </w:p>
        </w:tc>
      </w:tr>
      <w:tr>
        <w:trPr>
          <w:trHeight w:val="176"/>
        </w:trPr>
        <w:tc>
          <w:tcPr>
            <w:tcW w:w="34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Total revenues</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387,485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100.0</w:t>
            </w:r>
          </w:p>
        </w:tc>
        <w:tc>
          <w:tcPr>
            <w:tcW w:w="2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564,956</w:t>
            </w:r>
          </w:p>
        </w:tc>
        <w:tc>
          <w:tcPr>
            <w:tcW w:w="2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77,911</w:t>
            </w:r>
          </w:p>
        </w:tc>
        <w:tc>
          <w:tcPr>
            <w:tcW w:w="2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100.0</w:t>
            </w:r>
          </w:p>
        </w:tc>
        <w:tc>
          <w:tcPr>
            <w:tcW w:w="2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208,727</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353,577</w:t>
            </w:r>
          </w:p>
        </w:tc>
        <w:tc>
          <w:tcPr>
            <w:tcW w:w="2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48,760</w:t>
            </w:r>
          </w:p>
        </w:tc>
        <w:tc>
          <w:tcPr>
            <w:tcW w:w="2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Cost of revenues</w:t>
            </w:r>
          </w:p>
        </w:tc>
        <w:tc>
          <w:tcPr>
            <w:tcW w:w="84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(313,934)</w:t>
            </w: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(81.0)</w:t>
            </w:r>
          </w:p>
        </w:tc>
        <w:tc>
          <w:tcPr>
            <w:tcW w:w="8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(373,096)</w:t>
            </w:r>
          </w:p>
        </w:tc>
        <w:tc>
          <w:tcPr>
            <w:tcW w:w="7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(51,452)</w:t>
            </w:r>
          </w:p>
        </w:tc>
        <w:tc>
          <w:tcPr>
            <w:tcW w:w="6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(66.0)</w:t>
            </w:r>
          </w:p>
        </w:tc>
        <w:tc>
          <w:tcPr>
            <w:tcW w:w="8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(144,815)</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(69.4)</w:t>
            </w:r>
          </w:p>
        </w:tc>
        <w:tc>
          <w:tcPr>
            <w:tcW w:w="100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(220,713)</w:t>
            </w:r>
          </w:p>
        </w:tc>
        <w:tc>
          <w:tcPr>
            <w:tcW w:w="8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(30,438)</w:t>
            </w:r>
          </w:p>
        </w:tc>
        <w:tc>
          <w:tcPr>
            <w:tcW w:w="5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(62.4)</w:t>
            </w:r>
          </w:p>
        </w:tc>
        <w:tc>
          <w:tcPr>
            <w:tcW w:w="0" w:type="dxa"/>
            <w:vAlign w:val="bottom"/>
          </w:tcPr>
          <w:p>
            <w:pPr>
              <w:spacing w:after="0"/>
              <w:rPr>
                <w:sz w:val="1"/>
                <w:szCs w:val="1"/>
                <w:color w:val="auto"/>
              </w:rPr>
            </w:pPr>
          </w:p>
        </w:tc>
      </w:tr>
      <w:tr>
        <w:trPr>
          <w:trHeight w:val="169"/>
        </w:trPr>
        <w:tc>
          <w:tcPr>
            <w:tcW w:w="34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Operating expenses:</w:t>
            </w: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Sales and marketing expenses</w:t>
            </w:r>
          </w:p>
        </w:tc>
        <w:tc>
          <w:tcPr>
            <w:tcW w:w="84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(213,379)</w:t>
            </w: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(55.1)</w:t>
            </w:r>
          </w:p>
        </w:tc>
        <w:tc>
          <w:tcPr>
            <w:tcW w:w="8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(255,922)</w:t>
            </w:r>
          </w:p>
        </w:tc>
        <w:tc>
          <w:tcPr>
            <w:tcW w:w="7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(35,293)</w:t>
            </w:r>
          </w:p>
        </w:tc>
        <w:tc>
          <w:tcPr>
            <w:tcW w:w="6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(45.3)</w:t>
            </w:r>
          </w:p>
        </w:tc>
        <w:tc>
          <w:tcPr>
            <w:tcW w:w="8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(144,563)</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(69.3)</w:t>
            </w:r>
          </w:p>
        </w:tc>
        <w:tc>
          <w:tcPr>
            <w:tcW w:w="100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(125,566)</w:t>
            </w:r>
          </w:p>
        </w:tc>
        <w:tc>
          <w:tcPr>
            <w:tcW w:w="8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(17,316)</w:t>
            </w:r>
          </w:p>
        </w:tc>
        <w:tc>
          <w:tcPr>
            <w:tcW w:w="5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(35.5)</w:t>
            </w:r>
          </w:p>
        </w:tc>
        <w:tc>
          <w:tcPr>
            <w:tcW w:w="0" w:type="dxa"/>
            <w:vAlign w:val="bottom"/>
          </w:tcPr>
          <w:p>
            <w:pPr>
              <w:spacing w:after="0"/>
              <w:rPr>
                <w:sz w:val="1"/>
                <w:szCs w:val="1"/>
                <w:color w:val="auto"/>
              </w:rPr>
            </w:pPr>
          </w:p>
        </w:tc>
      </w:tr>
      <w:tr>
        <w:trPr>
          <w:trHeight w:val="162"/>
        </w:trPr>
        <w:tc>
          <w:tcPr>
            <w:tcW w:w="34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General and administrative expenses</w:t>
            </w:r>
          </w:p>
        </w:tc>
        <w:tc>
          <w:tcPr>
            <w:tcW w:w="84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(128,256)</w:t>
            </w: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(33.1)</w:t>
            </w:r>
          </w:p>
        </w:tc>
        <w:tc>
          <w:tcPr>
            <w:tcW w:w="8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(205,345)</w:t>
            </w:r>
          </w:p>
        </w:tc>
        <w:tc>
          <w:tcPr>
            <w:tcW w:w="7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(28,318)</w:t>
            </w:r>
          </w:p>
        </w:tc>
        <w:tc>
          <w:tcPr>
            <w:tcW w:w="6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(36.3)</w:t>
            </w: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(109,713)</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(52.6)</w:t>
            </w:r>
          </w:p>
        </w:tc>
        <w:tc>
          <w:tcPr>
            <w:tcW w:w="100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(80,492)</w:t>
            </w:r>
          </w:p>
        </w:tc>
        <w:tc>
          <w:tcPr>
            <w:tcW w:w="8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(11,100)</w:t>
            </w:r>
          </w:p>
        </w:tc>
        <w:tc>
          <w:tcPr>
            <w:tcW w:w="5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(22.8)</w:t>
            </w: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Research and development expenses</w:t>
            </w:r>
          </w:p>
        </w:tc>
        <w:tc>
          <w:tcPr>
            <w:tcW w:w="84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(188,745)</w:t>
            </w: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(48.7)</w:t>
            </w:r>
          </w:p>
        </w:tc>
        <w:tc>
          <w:tcPr>
            <w:tcW w:w="8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(117,905)</w:t>
            </w:r>
          </w:p>
        </w:tc>
        <w:tc>
          <w:tcPr>
            <w:tcW w:w="7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(16,260)</w:t>
            </w:r>
          </w:p>
        </w:tc>
        <w:tc>
          <w:tcPr>
            <w:tcW w:w="6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8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(71,315)</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(34.2)</w:t>
            </w:r>
          </w:p>
        </w:tc>
        <w:tc>
          <w:tcPr>
            <w:tcW w:w="100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(39,654)</w:t>
            </w:r>
          </w:p>
        </w:tc>
        <w:tc>
          <w:tcPr>
            <w:tcW w:w="8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(5,469)</w:t>
            </w:r>
          </w:p>
        </w:tc>
        <w:tc>
          <w:tcPr>
            <w:tcW w:w="5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(11.2)</w:t>
            </w:r>
          </w:p>
        </w:tc>
        <w:tc>
          <w:tcPr>
            <w:tcW w:w="0" w:type="dxa"/>
            <w:vAlign w:val="bottom"/>
          </w:tcPr>
          <w:p>
            <w:pPr>
              <w:spacing w:after="0"/>
              <w:rPr>
                <w:sz w:val="1"/>
                <w:szCs w:val="1"/>
                <w:color w:val="auto"/>
              </w:rPr>
            </w:pPr>
          </w:p>
        </w:tc>
      </w:tr>
      <w:tr>
        <w:trPr>
          <w:trHeight w:val="176"/>
        </w:trPr>
        <w:tc>
          <w:tcPr>
            <w:tcW w:w="34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(530,380</w:t>
            </w: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(136.9)</w:t>
            </w:r>
          </w:p>
        </w:tc>
        <w:tc>
          <w:tcPr>
            <w:tcW w:w="2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(579,172)</w:t>
            </w:r>
          </w:p>
        </w:tc>
        <w:tc>
          <w:tcPr>
            <w:tcW w:w="2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(79,871)</w:t>
            </w:r>
          </w:p>
        </w:tc>
        <w:tc>
          <w:tcPr>
            <w:tcW w:w="2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(102.5)</w:t>
            </w:r>
          </w:p>
        </w:tc>
        <w:tc>
          <w:tcPr>
            <w:tcW w:w="2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(325,591)</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86"/>
              </w:rPr>
              <w:t>(156.1)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(245,712)</w:t>
            </w:r>
          </w:p>
        </w:tc>
        <w:tc>
          <w:tcPr>
            <w:tcW w:w="2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(33,885)</w:t>
            </w:r>
          </w:p>
        </w:tc>
        <w:tc>
          <w:tcPr>
            <w:tcW w:w="2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(69.5)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Loss from operations</w:t>
            </w:r>
          </w:p>
        </w:tc>
        <w:tc>
          <w:tcPr>
            <w:tcW w:w="84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(456,829)</w:t>
            </w: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(117.9)</w:t>
            </w:r>
          </w:p>
        </w:tc>
        <w:tc>
          <w:tcPr>
            <w:tcW w:w="8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(387,312)</w:t>
            </w:r>
          </w:p>
        </w:tc>
        <w:tc>
          <w:tcPr>
            <w:tcW w:w="7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(53,412)</w:t>
            </w:r>
          </w:p>
        </w:tc>
        <w:tc>
          <w:tcPr>
            <w:tcW w:w="6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(68.6)</w:t>
            </w:r>
          </w:p>
        </w:tc>
        <w:tc>
          <w:tcPr>
            <w:tcW w:w="8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(261,679)</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w w:val="95"/>
              </w:rPr>
              <w:t>(125.4)</w:t>
            </w:r>
          </w:p>
        </w:tc>
        <w:tc>
          <w:tcPr>
            <w:tcW w:w="100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(112,848)</w:t>
            </w:r>
          </w:p>
        </w:tc>
        <w:tc>
          <w:tcPr>
            <w:tcW w:w="8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(15,563)</w:t>
            </w:r>
          </w:p>
        </w:tc>
        <w:tc>
          <w:tcPr>
            <w:tcW w:w="5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(31.9)</w:t>
            </w:r>
          </w:p>
        </w:tc>
        <w:tc>
          <w:tcPr>
            <w:tcW w:w="0" w:type="dxa"/>
            <w:vAlign w:val="bottom"/>
          </w:tcPr>
          <w:p>
            <w:pPr>
              <w:spacing w:after="0"/>
              <w:rPr>
                <w:sz w:val="1"/>
                <w:szCs w:val="1"/>
                <w:color w:val="auto"/>
              </w:rPr>
            </w:pPr>
          </w:p>
        </w:tc>
      </w:tr>
      <w:tr>
        <w:trPr>
          <w:trHeight w:val="169"/>
        </w:trPr>
        <w:tc>
          <w:tcPr>
            <w:tcW w:w="34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Other income/(expenses):</w:t>
            </w: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Interest income (expense), net</w:t>
            </w:r>
          </w:p>
        </w:tc>
        <w:tc>
          <w:tcPr>
            <w:tcW w:w="6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1,572</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0.4</w:t>
            </w:r>
          </w:p>
        </w:tc>
        <w:tc>
          <w:tcPr>
            <w:tcW w:w="8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(2,258)</w:t>
            </w:r>
          </w:p>
        </w:tc>
        <w:tc>
          <w:tcPr>
            <w:tcW w:w="7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(311)</w:t>
            </w:r>
          </w:p>
        </w:tc>
        <w:tc>
          <w:tcPr>
            <w:tcW w:w="6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(0.4)</w:t>
            </w: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318</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0.2</w:t>
            </w:r>
          </w:p>
        </w:tc>
        <w:tc>
          <w:tcPr>
            <w:tcW w:w="100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(1,833)</w:t>
            </w:r>
          </w:p>
        </w:tc>
        <w:tc>
          <w:tcPr>
            <w:tcW w:w="8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(253)</w:t>
            </w:r>
          </w:p>
        </w:tc>
        <w:tc>
          <w:tcPr>
            <w:tcW w:w="5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62"/>
        </w:trPr>
        <w:tc>
          <w:tcPr>
            <w:tcW w:w="34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Foreign exchange (loss)/gain, net</w:t>
            </w:r>
          </w:p>
        </w:tc>
        <w:tc>
          <w:tcPr>
            <w:tcW w:w="84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(392)</w:t>
            </w: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(0.1)</w:t>
            </w: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185</w:t>
            </w:r>
          </w:p>
        </w:tc>
        <w:tc>
          <w:tcPr>
            <w:tcW w:w="7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6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100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(82)</w:t>
            </w:r>
          </w:p>
        </w:tc>
        <w:tc>
          <w:tcPr>
            <w:tcW w:w="8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5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Others, net</w:t>
            </w:r>
          </w:p>
        </w:tc>
        <w:tc>
          <w:tcPr>
            <w:tcW w:w="84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(512)</w:t>
            </w: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(0.1)</w:t>
            </w:r>
          </w:p>
        </w:tc>
        <w:tc>
          <w:tcPr>
            <w:tcW w:w="8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(4,937)</w:t>
            </w:r>
          </w:p>
        </w:tc>
        <w:tc>
          <w:tcPr>
            <w:tcW w:w="7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(682)</w:t>
            </w:r>
          </w:p>
        </w:tc>
        <w:tc>
          <w:tcPr>
            <w:tcW w:w="6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(0.8)</w:t>
            </w:r>
          </w:p>
        </w:tc>
        <w:tc>
          <w:tcPr>
            <w:tcW w:w="8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(621)</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(0.3)</w:t>
            </w:r>
          </w:p>
        </w:tc>
        <w:tc>
          <w:tcPr>
            <w:tcW w:w="1000" w:type="dxa"/>
            <w:vAlign w:val="bottom"/>
            <w:gridSpan w:val="3"/>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2,842</w:t>
            </w:r>
          </w:p>
        </w:tc>
        <w:tc>
          <w:tcPr>
            <w:tcW w:w="8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392</w:t>
            </w:r>
          </w:p>
        </w:tc>
        <w:tc>
          <w:tcPr>
            <w:tcW w:w="5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176"/>
        </w:trPr>
        <w:tc>
          <w:tcPr>
            <w:tcW w:w="34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Total other income/(expenses), net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668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0.2</w:t>
            </w:r>
          </w:p>
        </w:tc>
        <w:tc>
          <w:tcPr>
            <w:tcW w:w="2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(7,010)</w:t>
            </w:r>
          </w:p>
        </w:tc>
        <w:tc>
          <w:tcPr>
            <w:tcW w:w="2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(967)</w:t>
            </w:r>
          </w:p>
        </w:tc>
        <w:tc>
          <w:tcPr>
            <w:tcW w:w="2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(1.2)</w:t>
            </w:r>
          </w:p>
        </w:tc>
        <w:tc>
          <w:tcPr>
            <w:tcW w:w="2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(348)</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927</w:t>
            </w:r>
          </w:p>
        </w:tc>
        <w:tc>
          <w:tcPr>
            <w:tcW w:w="2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128</w:t>
            </w:r>
          </w:p>
        </w:tc>
        <w:tc>
          <w:tcPr>
            <w:tcW w:w="2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Loss before income tax</w:t>
            </w:r>
          </w:p>
        </w:tc>
        <w:tc>
          <w:tcPr>
            <w:tcW w:w="84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(456,161)</w:t>
            </w: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(117.7)</w:t>
            </w:r>
          </w:p>
        </w:tc>
        <w:tc>
          <w:tcPr>
            <w:tcW w:w="8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(394,322)</w:t>
            </w:r>
          </w:p>
        </w:tc>
        <w:tc>
          <w:tcPr>
            <w:tcW w:w="7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(54,379)</w:t>
            </w:r>
          </w:p>
        </w:tc>
        <w:tc>
          <w:tcPr>
            <w:tcW w:w="6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(69.8)</w:t>
            </w:r>
          </w:p>
        </w:tc>
        <w:tc>
          <w:tcPr>
            <w:tcW w:w="8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(262,027)</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w w:val="95"/>
              </w:rPr>
              <w:t>(125.5)</w:t>
            </w:r>
          </w:p>
        </w:tc>
        <w:tc>
          <w:tcPr>
            <w:tcW w:w="100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(111,921)</w:t>
            </w:r>
          </w:p>
        </w:tc>
        <w:tc>
          <w:tcPr>
            <w:tcW w:w="8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(15,435)</w:t>
            </w:r>
          </w:p>
        </w:tc>
        <w:tc>
          <w:tcPr>
            <w:tcW w:w="5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(31.6)</w:t>
            </w:r>
          </w:p>
        </w:tc>
        <w:tc>
          <w:tcPr>
            <w:tcW w:w="0" w:type="dxa"/>
            <w:vAlign w:val="bottom"/>
          </w:tcPr>
          <w:p>
            <w:pPr>
              <w:spacing w:after="0"/>
              <w:rPr>
                <w:sz w:val="1"/>
                <w:szCs w:val="1"/>
                <w:color w:val="auto"/>
              </w:rPr>
            </w:pPr>
          </w:p>
        </w:tc>
      </w:tr>
      <w:tr>
        <w:trPr>
          <w:trHeight w:val="169"/>
        </w:trPr>
        <w:tc>
          <w:tcPr>
            <w:tcW w:w="34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Income tax benefit (expense)</w:t>
            </w:r>
          </w:p>
        </w:tc>
        <w:tc>
          <w:tcPr>
            <w:tcW w:w="6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8,429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(1,058)</w:t>
            </w:r>
          </w:p>
        </w:tc>
        <w:tc>
          <w:tcPr>
            <w:tcW w:w="200" w:type="dxa"/>
            <w:vAlign w:val="bottom"/>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(146)</w:t>
            </w:r>
          </w:p>
        </w:tc>
        <w:tc>
          <w:tcPr>
            <w:tcW w:w="200" w:type="dxa"/>
            <w:vAlign w:val="bottom"/>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(0.2)</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(525)</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(3,392)</w:t>
            </w:r>
          </w:p>
        </w:tc>
        <w:tc>
          <w:tcPr>
            <w:tcW w:w="20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(468)</w:t>
            </w:r>
          </w:p>
        </w:tc>
        <w:tc>
          <w:tcPr>
            <w:tcW w:w="220" w:type="dxa"/>
            <w:vAlign w:val="bottom"/>
          </w:tcPr>
          <w:p>
            <w:pPr>
              <w:spacing w:after="0"/>
              <w:rPr>
                <w:sz w:val="14"/>
                <w:szCs w:val="14"/>
                <w:color w:val="auto"/>
              </w:rPr>
            </w:pPr>
          </w:p>
        </w:tc>
        <w:tc>
          <w:tcPr>
            <w:tcW w:w="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 of profit from equity method investment</w:t>
            </w:r>
          </w:p>
        </w:tc>
        <w:tc>
          <w:tcPr>
            <w:tcW w:w="6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2,438</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0.6</w:t>
            </w: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4,529</w:t>
            </w:r>
          </w:p>
        </w:tc>
        <w:tc>
          <w:tcPr>
            <w:tcW w:w="7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625</w:t>
            </w:r>
          </w:p>
        </w:tc>
        <w:tc>
          <w:tcPr>
            <w:tcW w:w="68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0.8</w:t>
            </w: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2,328</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0" w:type="dxa"/>
            <w:vAlign w:val="bottom"/>
            <w:gridSpan w:val="3"/>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1,630</w:t>
            </w:r>
          </w:p>
        </w:tc>
        <w:tc>
          <w:tcPr>
            <w:tcW w:w="8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225</w:t>
            </w:r>
          </w:p>
        </w:tc>
        <w:tc>
          <w:tcPr>
            <w:tcW w:w="5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76"/>
        </w:trPr>
        <w:tc>
          <w:tcPr>
            <w:tcW w:w="34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loss</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(445,294</w:t>
            </w: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(114.9)</w:t>
            </w:r>
          </w:p>
        </w:tc>
        <w:tc>
          <w:tcPr>
            <w:tcW w:w="2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(390,851)</w:t>
            </w:r>
          </w:p>
        </w:tc>
        <w:tc>
          <w:tcPr>
            <w:tcW w:w="2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(53,900)</w:t>
            </w:r>
          </w:p>
        </w:tc>
        <w:tc>
          <w:tcPr>
            <w:tcW w:w="2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(69.2)</w:t>
            </w:r>
          </w:p>
        </w:tc>
        <w:tc>
          <w:tcPr>
            <w:tcW w:w="2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(260,224)</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86"/>
              </w:rPr>
              <w:t>(124.7)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(113,683)</w:t>
            </w:r>
          </w:p>
        </w:tc>
        <w:tc>
          <w:tcPr>
            <w:tcW w:w="2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(15,678)</w:t>
            </w:r>
          </w:p>
        </w:tc>
        <w:tc>
          <w:tcPr>
            <w:tcW w:w="2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40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Less: Net loss attributable to non-controlling</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interests</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(1,584)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(0.4)</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(8,668)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(1,195)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(4,158)</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(2.0)</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(6,804)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(938)</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69"/>
        </w:trPr>
        <w:tc>
          <w:tcPr>
            <w:tcW w:w="34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loss attributable to DSC</w:t>
            </w:r>
          </w:p>
        </w:tc>
        <w:tc>
          <w:tcPr>
            <w:tcW w:w="6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(443,710</w:t>
            </w: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(114.5)</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(382,183)</w:t>
            </w:r>
          </w:p>
        </w:tc>
        <w:tc>
          <w:tcPr>
            <w:tcW w:w="200" w:type="dxa"/>
            <w:vAlign w:val="bottom"/>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(52,705)</w:t>
            </w:r>
          </w:p>
        </w:tc>
        <w:tc>
          <w:tcPr>
            <w:tcW w:w="200" w:type="dxa"/>
            <w:vAlign w:val="bottom"/>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(67.7)</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(256,066)</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86"/>
              </w:rPr>
              <w:t>(122.7)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(106,879)</w:t>
            </w:r>
          </w:p>
        </w:tc>
        <w:tc>
          <w:tcPr>
            <w:tcW w:w="20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(14,740)</w:t>
            </w:r>
          </w:p>
        </w:tc>
        <w:tc>
          <w:tcPr>
            <w:tcW w:w="220" w:type="dxa"/>
            <w:vAlign w:val="bottom"/>
          </w:tcPr>
          <w:p>
            <w:pPr>
              <w:spacing w:after="0"/>
              <w:rPr>
                <w:sz w:val="14"/>
                <w:szCs w:val="14"/>
                <w:color w:val="auto"/>
              </w:rPr>
            </w:pPr>
          </w:p>
        </w:tc>
        <w:tc>
          <w:tcPr>
            <w:tcW w:w="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right="46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Six Months Ended June 30, 2023 Compared to Six Months Ended June 30, 2022 </w:t>
      </w:r>
      <w:r>
        <w:rPr>
          <w:rFonts w:ascii="Times New Roman" w:cs="Times New Roman" w:eastAsia="Times New Roman" w:hAnsi="Times New Roman"/>
          <w:sz w:val="18"/>
          <w:szCs w:val="18"/>
          <w:i w:val="1"/>
          <w:iCs w:val="1"/>
          <w:color w:val="auto"/>
        </w:rPr>
        <w:t>Revenues</w:t>
      </w: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total revenues increased by 69.4% from RMB208.7 million for the six months ended June 30, 2022 to RMB353.6 million (US$48.8 million) for the six months ended June 30, 2023.</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Digitalization solutions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Revenues from our digitalization solutions increased by 13.5% from RMB66.2 million for the six months ended June 30, 2022 to RMB75.2 million (US$10.4 million) for the six months ended June 30, 2023. This increase was mainly due to an increase of RMB5.5 million (US$0.8 million) in the subscription fees received from used car dealers and new car brokers.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services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Revenues from our transaction services increased by 95.4% from RMB142.5 million for the six months ended June 30, 2022 to RMB278.4 million (US$38.4 million) for the six months ended June 30, 2023, driven by:</w:t>
      </w:r>
    </w:p>
    <w:p>
      <w:pPr>
        <w:spacing w:after="0" w:line="67" w:lineRule="exact"/>
        <w:rPr>
          <w:sz w:val="20"/>
          <w:szCs w:val="20"/>
          <w:color w:val="auto"/>
        </w:rPr>
      </w:pPr>
    </w:p>
    <w:p>
      <w:pPr>
        <w:jc w:val="both"/>
        <w:ind w:left="1080" w:hanging="378"/>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RMB62.5 million (US$8.6 million) in revenue from financial products referral services, due to the increased volume of auto loans achieved through our referral services from approximately RMB143.0 million for the six months ended June 30, 2022 to RMB846.1 million (US$116.7 million) for the six months ended June 30, 2023;</w:t>
      </w:r>
    </w:p>
    <w:p>
      <w:pPr>
        <w:spacing w:after="0" w:line="81" w:lineRule="exact"/>
        <w:rPr>
          <w:rFonts w:ascii="Times New Roman" w:cs="Times New Roman" w:eastAsia="Times New Roman" w:hAnsi="Times New Roman"/>
          <w:sz w:val="18"/>
          <w:szCs w:val="18"/>
          <w:color w:val="auto"/>
        </w:rPr>
      </w:pPr>
    </w:p>
    <w:p>
      <w:pPr>
        <w:ind w:left="1080" w:right="20" w:hanging="428"/>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RMB52.1 million (US$7.2 million) in the revenue from delivery services, driven by an increase in revenue from both title transfer and transportation services;</w:t>
      </w:r>
    </w:p>
    <w:p>
      <w:pPr>
        <w:spacing w:after="0" w:line="67" w:lineRule="exact"/>
        <w:rPr>
          <w:rFonts w:ascii="Times New Roman" w:cs="Times New Roman" w:eastAsia="Times New Roman" w:hAnsi="Times New Roman"/>
          <w:sz w:val="18"/>
          <w:szCs w:val="18"/>
          <w:color w:val="auto"/>
        </w:rPr>
      </w:pPr>
    </w:p>
    <w:p>
      <w:pPr>
        <w:jc w:val="both"/>
        <w:ind w:left="1080" w:hanging="370"/>
        <w:spacing w:after="0" w:line="266" w:lineRule="auto"/>
        <w:tabs>
          <w:tab w:leader="none" w:pos="108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RMB10.7 million (US$1.5 million) in the revenue from used car inspection and certification services, as we continued to introduce such services to more cities and attract new customers, with the inspection volume increased from 376,548 for the six months ended June 30, 2022 to 404,346 for the six months ended June 30, 2023;</w:t>
      </w:r>
    </w:p>
    <w:p>
      <w:pPr>
        <w:spacing w:after="0" w:line="81" w:lineRule="exact"/>
        <w:rPr>
          <w:rFonts w:ascii="Times New Roman" w:cs="Times New Roman" w:eastAsia="Times New Roman" w:hAnsi="Times New Roman"/>
          <w:sz w:val="18"/>
          <w:szCs w:val="18"/>
          <w:color w:val="auto"/>
        </w:rPr>
      </w:pPr>
    </w:p>
    <w:p>
      <w:pPr>
        <w:ind w:left="1080" w:right="20" w:hanging="360"/>
        <w:spacing w:after="0" w:line="282" w:lineRule="auto"/>
        <w:tabs>
          <w:tab w:leader="none" w:pos="108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RMB7.6 million (US$1.1 million) in revenue from other services, especially marketing and sales services, as evidenced by an increase in the number of projects with OEM customers; and</w:t>
      </w:r>
    </w:p>
    <w:p>
      <w:pPr>
        <w:spacing w:after="0" w:line="67" w:lineRule="exact"/>
        <w:rPr>
          <w:rFonts w:ascii="Times New Roman" w:cs="Times New Roman" w:eastAsia="Times New Roman" w:hAnsi="Times New Roman"/>
          <w:sz w:val="18"/>
          <w:szCs w:val="18"/>
          <w:color w:val="auto"/>
        </w:rPr>
      </w:pPr>
    </w:p>
    <w:p>
      <w:pPr>
        <w:ind w:left="1080" w:right="20" w:hanging="418"/>
        <w:spacing w:after="0" w:line="282"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RMB3.0 million (US$0.4 million) in revenue from B2B transaction facilitation services driven by an increase in the volume of used car sale transactions facilitated.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52.4% from RMB144.8 million for the six months ended June 30, 2022 to RMB220.7 million (US$30.4 million) for the six months ended June 30, 2023, attributable to an increase of RMB60.0 million (US$8.3 million) in service fees paid to third parties, an increase of RMB14.2 million (US$2.0 million) in rent costs, partially offset by a decrease of RMB10.0 million (US$1.4 million) in personnel costs.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Digitalization solutions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cost of revenues for digitalization solutions decreased by 12.0% from RMB44.2 million for the six months ended June 30, 2022 to RMB38.9 million (US$5.4 million) for the six months ended June 30, 2023, due to a decrease in personnel cost for our digitalization solutions driven by optimization of our compensation structure of workforce and implementation of cost control measures.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services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cost of revenues for transaction services increased by 80.7% from RMB100.6 million for the six months ended June 30, 2022 to RMB181.8 million (US$25.1 million) for the six months ended June 30, 2023, driven by an increase in services fees paid to third parties to scale up our various transaction services and an increase in rent costs to expand our delivery services.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&amp; Gross Margin</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107.9% from RMB63.9 million for the six months ended June 30, 2022 to RMB132.9 million (US$18.3 million) for the six months ended June 30, 2023. Our gross margin increased from 30.6% for the six months ended June 30, 2022 to 37.6% for the six months ended June 30, 2023, mainly attributable to (i) an improvement in the gross margin of our various transaction services as we focused on increasing economies of scale and controlling associated costs; (ii) an increase in revenue contribution of financial products referral services which generally have relatively high margin profiles; and (iii) our workforce optimization efforts and the implementation of other measures to improve our operating efficiency.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Digitalization solutions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gross margin for digitalization solutions increased from 33.3% for the six months ended June 30, 2022 to 48.3% for the six months ended June 30, 2023, driven by an increase in revenue contribution from subscription services which generally have relatively high margin profiles as well as our workforce optimization efforts and the implementation of other measures to improve our operating efficiency.</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services</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gross margin for transaction services increased from 29.4% for the six months ended June 30, 2022 to 34.7% for the six months ended June 30, 2023, driven by an improvement in the gross margin of our various transaction services as we focused on increasing economies of scale and controlling associated costs as well as increased revenue contribution from financial products referral services which generally have relatively high margin profiles.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Our total operating expenses decreased by 24.5% from RMB325.6 million for the six months ended June 30, 2022 to RMB245.7 million (US$33.9 million) for the six months ended June 30, 2023.</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 expenses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decrease by 13.1% from RMB144.6 million for the six months ended June 30, 2022, to RMB125.6 million (US$17.3 million) for the six months ended June 30, 2023, due to a decrease of RMB9.8 million (US$1.4 million) in personnel costs resulting from optimization of compensation structure of our sales and marketing workforce. This decrease was also attributable to a decrease of RMB5.9 million (US$0.8 million) in travel related expenses due to implementation of cost control measures.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decreased by 26.6% from RMB109.7 million for the six months ended June 30, 2022 to RMB80.5 million (US$11.1 million) for the six months ended June 30, 2023, due to a decrease of RMB26.6 million (US$3.7 million) in personnel costs resulting from optimization of compensation structure of workforce and implementation of cost control measures and a decrease of RMB4.6 million (US$0.6 million) in depreciation and amortization, partially offset by an increase in service charge of RMB2.4 million (US$0.3 million) paid to third parties to support our business operations as well as in connection with this offering.</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decreased by 44.4% from RMB71.3 million for the six months ended June 30, 2022 to RMB39.7 million (US$5.5 million) for the six months ended June 30, 2023, due to a decrease of RMB33.9 million (US$4.7 million) in personnel costs due to our optimization of research and development activities, including focusing on more commercially viable projects.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losses from operations decreased by 56.9% from RMB261.7 million for the six months ended June 30, 2022 to RMB112.8 million (US$15.6 million) for the six months ended June 30, 2023.</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 / (Expenses)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recorded other expenses of RMB0.4 million and other income of RMB0.9 million (US$0.1 million) for the six months ended June 30, 2022 and 2023,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 / (expense), net</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interest income consists primarily of interest earned on wealth management products we purchased from commercial banks. Our interest expenses consist primarily of interests related to our borrowings from commercial banks. We recorded a net interest income of RMB0.3 million for the six months ended June 30, 2022 and a net interest expense of RMB1.8 million (US$0.3 million) for the six months ended June 30, 2023.</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(loss) income, net</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recorded foreign exchange loss, net of RMB45 thousand and RMB82 thousand (US$11 thousand) for the six months ended June 30, 2022 and 2023, respectively, due to fluctuations in foreign exchange rates.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Others, net</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recorded a loss of RMB0.6 million for the six months ended June 30, 2022 and a gain of RMB2.8 million (US$0.4 million) for the six months ended June 30, 2023, due to disposal of our interests in certain investees.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Loss Before Income Taxes</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before income taxes decreased by 57.3% from RMB262.0 million for the six months ended June 30, 2022 to RMB111.9 million (US$15.4 million) for the six months ended June 30, 2023.</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Our income tax expense increased by 546.1% from RMB0.5 million for the six months ended June 30, 2022 to RMB3.4 million (US$0.5 million) for the six months ended June 30, 2023, due to periodic recognition of deferred tax liabilities.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Share of Profit from Equity Method Investments</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share of profit from equity method investments decreased by 30.0% from RMB2.3 million for the six months ended June 30, 2022 to RMB1.6 million (US$0.2 million) for the six months ended June 30, 2023, due to a decrease in profit of the join venture in which we invested.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decreased by 56.3% from RMB260.2 million for the six months ended June 30, 2022 to RMB113.7 million (US$15.7 million) for the six months ended June 30, 2023.</w:t>
      </w:r>
    </w:p>
    <w:p>
      <w:pPr>
        <w:spacing w:after="0" w:line="266" w:lineRule="exact"/>
        <w:rPr>
          <w:sz w:val="20"/>
          <w:szCs w:val="20"/>
          <w:color w:val="auto"/>
        </w:rPr>
      </w:pPr>
    </w:p>
    <w:p>
      <w:pPr>
        <w:ind w:left="560" w:right="48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2022 Compared to Year Ended December 31, 2021 </w:t>
      </w:r>
      <w:r>
        <w:rPr>
          <w:rFonts w:ascii="Times New Roman" w:cs="Times New Roman" w:eastAsia="Times New Roman" w:hAnsi="Times New Roman"/>
          <w:sz w:val="18"/>
          <w:szCs w:val="18"/>
          <w:i w:val="1"/>
          <w:iCs w:val="1"/>
          <w:color w:val="auto"/>
        </w:rPr>
        <w:t>Revenues</w:t>
      </w: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Our total revenues increased by 45.8% from RMB387.5 million for the year ended December 31, 2021 to RMB565.0 million (US$77.9 million) for the year ended December 31,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Digitalization solutions</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Revenues from our digitalization solutions increased by 69.2% from RMB118.9 million for the year ended December 31, 2021 to RMB201.1 million (US$27.7 million) for the year ended December 31, 2022.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was primarily due to an increase in the number of projects from OEM customers from 14 in 2021 to 17 in 2022.</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increase is also due to, to a lesser extent, an increase of RMB17.5 million (US$2.4 million) in subscription fees, because we only began to sell annual subscription packages on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to car dealers in late 2021. The numbers of our subscribing used car dealers were 1,092 and 3,720, respectively, and the numbers of our subscribing new car brokers were 764 and 1,850, respectively, in 2021 and 2022.</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services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Revenues from our transaction services increased by 35.5% from RMB268.6 million for the year ended December 31, 2021 to RMB363.8 million (US$50.2 million) for the year ended December 31, 2022, driven by:</w:t>
      </w:r>
    </w:p>
    <w:p>
      <w:pPr>
        <w:spacing w:after="0" w:line="67" w:lineRule="exact"/>
        <w:rPr>
          <w:sz w:val="20"/>
          <w:szCs w:val="20"/>
          <w:color w:val="auto"/>
        </w:rPr>
      </w:pPr>
    </w:p>
    <w:p>
      <w:pPr>
        <w:jc w:val="both"/>
        <w:ind w:left="1080" w:hanging="378"/>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RMB29.8 million (US$4.1 million) in the revenue from delivery services, driven by an increase in the number of vehicles delivered from 43,923 in 2021 to 78,711 in 2022 which, in turn, was due to acquisition of new customers as well as increased use of our delivery service among our existing customers as a result of our cross-sell efforts;</w:t>
      </w:r>
    </w:p>
    <w:p>
      <w:pPr>
        <w:spacing w:after="0" w:line="81" w:lineRule="exact"/>
        <w:rPr>
          <w:rFonts w:ascii="Times New Roman" w:cs="Times New Roman" w:eastAsia="Times New Roman" w:hAnsi="Times New Roman"/>
          <w:sz w:val="18"/>
          <w:szCs w:val="18"/>
          <w:color w:val="auto"/>
        </w:rPr>
      </w:pPr>
    </w:p>
    <w:p>
      <w:pPr>
        <w:jc w:val="both"/>
        <w:ind w:left="1080" w:hanging="428"/>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RMB28.1 million (US$3.9 million) in the revenue from used car inspection and certification services, as we continued to introduce such services to more cities and attract new customers, with the annual inspection volume increased by 37.7% from 582,846 in 2021 to 802,570 in 2022;</w:t>
      </w:r>
    </w:p>
    <w:p>
      <w:pPr>
        <w:spacing w:after="0" w:line="81" w:lineRule="exact"/>
        <w:rPr>
          <w:rFonts w:ascii="Times New Roman" w:cs="Times New Roman" w:eastAsia="Times New Roman" w:hAnsi="Times New Roman"/>
          <w:sz w:val="18"/>
          <w:szCs w:val="18"/>
          <w:color w:val="auto"/>
        </w:rPr>
      </w:pPr>
    </w:p>
    <w:p>
      <w:pPr>
        <w:jc w:val="both"/>
        <w:ind w:left="1080" w:right="20" w:hanging="370"/>
        <w:spacing w:after="0" w:line="266" w:lineRule="auto"/>
        <w:tabs>
          <w:tab w:leader="none" w:pos="108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RMB11.5 million (US$1.6 million) in revenue from B2B transaction facilitation services driven by an increase in the number and total value of car sale transactions facilitated, evidenced by an increase in the number of auctions facilitated from 105,371 in 2021 to 141,046 in 2022;</w:t>
      </w:r>
    </w:p>
    <w:p>
      <w:pPr>
        <w:spacing w:after="0" w:line="81" w:lineRule="exact"/>
        <w:rPr>
          <w:rFonts w:ascii="Times New Roman" w:cs="Times New Roman" w:eastAsia="Times New Roman" w:hAnsi="Times New Roman"/>
          <w:sz w:val="18"/>
          <w:szCs w:val="18"/>
          <w:color w:val="auto"/>
        </w:rPr>
      </w:pPr>
    </w:p>
    <w:p>
      <w:pPr>
        <w:jc w:val="both"/>
        <w:ind w:left="1080" w:hanging="360"/>
        <w:spacing w:after="0" w:line="266" w:lineRule="auto"/>
        <w:tabs>
          <w:tab w:leader="none" w:pos="108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RMB26.8 million (US$3.7 million) in revenue from financial products referral services, due to the increased volume of auto loans achieved through our referral services from approximately RMB63.0 million in 2021 to RMB431.1 million (US$59.5 million) in 2022; and</w:t>
      </w:r>
    </w:p>
    <w:p>
      <w:pPr>
        <w:spacing w:after="0" w:line="81" w:lineRule="exact"/>
        <w:rPr>
          <w:rFonts w:ascii="Times New Roman" w:cs="Times New Roman" w:eastAsia="Times New Roman" w:hAnsi="Times New Roman"/>
          <w:sz w:val="18"/>
          <w:szCs w:val="18"/>
          <w:color w:val="auto"/>
        </w:rPr>
      </w:pPr>
    </w:p>
    <w:p>
      <w:pPr>
        <w:ind w:left="1080" w:right="20" w:hanging="418"/>
        <w:spacing w:after="0" w:line="282" w:lineRule="auto"/>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RMB18.3 million (US$2.5 million) in revenue from marketing services in other services as we are able to cross-sell more marketing and sales services to OEMs as we expanded our customer engagement solutions with them.</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18.8% from RMB313.9 million for the year ended December 31, 2021 to RMB373.1 million (US$51.5 million) for the year ended December 31, 2022, attributable to an increase of RMB59.9 million (US$8.3 million) in service fees and rebates paid to third parties, an increase of RMB20.1 million (US$2.8 million) in product procurement and an increase of RMB10.5 million (US$1.4 million) in personnel costs.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Digitalization solutions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cost of revenues for digitalization solutions increased by 30.1% from RMB94.6 million for the year ended December 31, 2021 to RMB123.1 million (US$17.0 million) for the year ended December 31, 2022, due to an increase in personnel costs driven by the growth of customer engagement solutions offered to OEMs.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services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cost of revenues for transaction services increased by 14.0% from RMB219.3 million for the year ended December 31, 2021 to RMB250.0 million (US$34.5 million) for the year ended December 31, 2022, driven by an increase in services fees paid to third parties to scale up our transaction services.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&amp; Gross Margin</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160.9% from RMB73.6 million for the year ended December 31, 2021 to RMB191.9 million (US$26.5 million) for the year ended December 31, 2022. Our gross margin increased from 19.0% for the year ended December 31, 2021 to 34.0% for the year ended December 31, 2022, primarily attributable to increases in gross margins of both digitalization solutions and transaction services driven by (i) an increase in the revenue contribution of our digitalization solutions, which generally have relatively high margin profiles; (ii) an improvement in the gross margin of our various transaction services as we focused on increasing economies of scale and controlling associated costs; and (iii) our workforce optimization efforts and the implementation of other measures to improve our operating efficiency in 2022.</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Digitalization solutions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gross margin for digitalization solutions increased from 20.4% for the year ended December 31, 2021 to 38.8% for the year ended December 31, 2022, driven by an increase in revenue contribution from subscription services which generally have relatively high margin profiles.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services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gross margin for transaction services increased from 18.4% for the year ended December 31, 2021 to 31.3% for the year ended December 31, 2022, driven by economies of scales as our businesses grow.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total operating expenses increased by 9.2% from RMB530.4 million for the year ended December 31, 2021 to RMB579.2 million (US$79.9 million) for the year ended December 31,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 expenses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increased by 19.9% from RMB213.4 million for the year ended December 31, 2021, to RMB255.9 million (US$35.3 million) for the year ended December 31, 2022, due to an increase of RMB38.2 million (US$5.3 million) in personnel costs resulting from the launch of new services that required additional sales and marketing personnel to engage new customers. This increase was partially offset by a decrease in travel related expenses due to COVID-19 related restrictive measures implemented in 2022.</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11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increased by 60.1% from RMB128.3 million for the year ended December 31, 2021 to RMB205.3 million (US$28.3 million) for the year ended December 31, 2022, due to: (i) an increase of RMB57.9 million (US$8.0 million) in personnel costs as we hired new general and administrative personnel to support the operation of new offerings; (ii) expenses related to severance payments for employee departures as part of our workforce optimization efforts; and (iii) an increase of RMB8.4 million (US$1.2 million) in service fees paid to third-party technology service provider to support our operation as our business scales.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decreased by 37.5% from RMB188.7 million for the year ended December 31, 2021 to RMB117.9 million (US$16.3 million) for the year ended December 31, 2022, due to a decrease of RMB67.7 million (US$9.3 million) in personnel costs as we optimized our research and development personnel for certain non-core service lines in 2022.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losses from operations decreased by 15.2% from RMB456.8 million for the year ended December 31, 2021 to RMB387.3 million (US$53.4 million) for the year ended December 31,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 / (Expenses)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recorded other income of RMB0.7 million for the year ended December 31, 2021 as opposed to other expenses of RMB7.0 million (US$1.0 million) for the year ended December 31,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 / (expense), net</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interest income consists primarily of interest earned on wealth management products we purchased from commercial banks. Our interest expenses consist primarily of interests related to our borrowings from commercial banks. We recorded an interest income of RMB1.6 million for the year ended December 31, 2021 and a net interest expense of RMB2.3 million (US$0.3 million) for the year ended December 31, 2022.</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(loss) income, net</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recorded foreign exchange loss, net of RMB0.4 million for the year ended December 31, 2021 and foreign exchange income, net of RMB0.2 million (US$0.03 million) for the year ended December 31, 2022, primarily due to fluctuations in foreign exchange rates.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Others, net</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recorded a loss of RMB0.5 million for the year ended December 31, 2021 and a loss of RMB4.9 million (US$0.7 million) for the year ended December 31, 2022, primarily due to an increase in penalties or damages resulting from certain disputes.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Loss Before Income Taxes</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before income taxes decreased by 13.6% from RMB456.2 million for the year ended December 31, 2021 to RMB394.3 million (US$54.4 million) for the year ended December 31,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recorded income tax benefit of RMB8.4 million for the year ended December 31, 2021, and income tax expenses of RMB1.1 million (US$0.1 million) for the year ended December 31, 2022, primarily due to periodic recognition of deferred tax liabilities.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Share of Profit from Equity Method Investments</w:t>
      </w:r>
    </w:p>
    <w:p>
      <w:pPr>
        <w:spacing w:after="0" w:line="119" w:lineRule="exact"/>
        <w:rPr>
          <w:sz w:val="20"/>
          <w:szCs w:val="20"/>
          <w:color w:val="auto"/>
        </w:rPr>
      </w:pPr>
    </w:p>
    <w:p>
      <w:pPr>
        <w:jc w:val="both"/>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Our share of profit from equity method investments increased by 85.8% from RMB2.4 million for the year ended December 31, 2021 to RMB4.5 million (US$0.6 million) for the year ended December 31, 2022, primarily due to an increase in profits of the joint ventures in which we invested.</w:t>
      </w:r>
    </w:p>
    <w:p>
      <w:pPr>
        <w:spacing w:after="0" w:line="200" w:lineRule="exact"/>
        <w:rPr>
          <w:sz w:val="20"/>
          <w:szCs w:val="20"/>
          <w:color w:val="auto"/>
        </w:rPr>
      </w:pP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decreased by 12.2% from RMB445.3 million for the year ended December 31, 2021 to RMB390.9 million (US$53.9 million) for the year ended December 31, 2022.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have been cash generated from operating activities, proceeds from short-term loans, and loans provided by our related parties. As of June 30, 2023, we had RMB251.4 million (US$34.7 million) in cash and cash equivalents and restricted cash.</w:t>
      </w:r>
    </w:p>
    <w:p>
      <w:pPr>
        <w:spacing w:after="0" w:line="16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While we have historically recorded net losses, we have been able to meet our working capital needs in the past. Most of our historical financing activities were conducted before the Restructuring and the proceeds generated from such financing activities are held by Souche Holdings Ltd. Souche Holdings Ltd has used such proceeds to make interest-free loans to us and our operating entities for us to meet our working capital needs. For more information about the Restructuring, see “Corporate History and Structure.” For more information about the transactions between us and Souche Holdings Ltd, see “Related Party Transactions.” In 2021 and 2022 and for the six months ended June 30, 2023, Souche Holdings Ltd has waived our debts due to Souche Holdings Ltd in a total amount of RMB780.4 million, RMB501.4 million (US$69.1 million) and nil, respectively. In addition, we received an undertaking letter dated September 8, 2023 from certain subsidiaries and affiliates of Souche Holdings Ltd (collectively, the “Souche Entities”) pursuant to which the Souche Entities have undertaken that (i) they will not request us to repay the loans we borrowed from the Souche Entities totaling RMB225.6 million within the 18-month period following the date of the undertaking letter; and (ii) they will provide us with the financial support necessary to meet our funding needs arising from our operating, investing and financing activities within the 18-month period following the date of the undertaking letter. We expect to gradually mitigate operating losses in the foreseeable future by achieving economies of scale in our digitalization solutions and transaction services. In addition to financial support from Souche Holdings Ltd, we also plan to continuously fund our operations through public and private equity financings and bank borrowings. In August 2023, we received RMB300 million (US$41.4 million) through our Series G financing. We believe we will continue to operate with sufficient capital resources in the foreseeable future through our operating cash flow and existing cash balance, support from Souche Holdings Ltd, various public and private financing opportunities, bank financings, as well as the proceeds from this offering.</w:t>
      </w:r>
    </w:p>
    <w:p>
      <w:pPr>
        <w:spacing w:after="0" w:line="195"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may decide to enhance our liquidity position or increase our cash reserve for future expansions and acquisitions through additional capital and/or finance funding. The issuance and sale of additional equity, including convertible debt securities,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 If we are unable to obtain additional equity or debt financing as required, our business operations and prospects may suffer.</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restricted cash as of June 30, 2023, as well as funds raised from our financing activities, would be sufficient to fund our continuing operating activities, capital expenditure and other obligations for at least the next 12 months.</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holding company with no material operations of our own, we conduct a substantial majority of our operations through our PRC subsidiaries and the VIEs and their subsidiaries in China. We are permitted under PRC laws and regulations to provide funding to our PRC subsidiaries in China through capital contributions or loans, subject to applicable approval registration, filings and reporting procedures with government authorities and limits on the amount of capital contributions and loans. See “Corporate History and Structure—Regulatory Requirements on Foreign Exchange and the Ability to Transfer Cash Between Entities, Across Borders and to U.S. Investors.” The ability of our subsidiaries in China to make dividends or other cash payments to us is subject to various restrictions under PRC laws and regulations. See “Risk Factors—Risks Related to Doing Business in China— 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 and “—If we are classified as a PRC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40"/>
          </w:cols>
          <w:pgMar w:left="320" w:top="455"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resident enterprise for PRC enterprise income tax purposes, such classification could result in unfavorable tax consequences to us and our non-PRC shareholders and ADS holders,” and “Regulation—Regulations relating to Foreign Exchange Control—Regulations on Dividend Distribution.”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96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74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740" w:type="dxa"/>
            <w:vAlign w:val="bottom"/>
            <w:tcBorders>
              <w:top w:val="single" w:sz="8" w:color="auto"/>
            </w:tcBorders>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jc w:val="right"/>
              <w:ind w:right="41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tcPr>
          <w:p>
            <w:pPr>
              <w:jc w:val="right"/>
              <w:ind w:right="41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20" w:type="dxa"/>
            <w:vAlign w:val="bottom"/>
            <w:tcBorders>
              <w:top w:val="single" w:sz="8" w:color="auto"/>
            </w:tcBorders>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gridSpan w:val="2"/>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Combined and Consolidated Statement of Cash Flows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Data:</w:t>
            </w: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(428,120)</w:t>
            </w:r>
          </w:p>
        </w:tc>
        <w:tc>
          <w:tcPr>
            <w:tcW w:w="114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(440,379)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(60,729)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(195,257)</w:t>
            </w:r>
          </w:p>
        </w:tc>
        <w:tc>
          <w:tcPr>
            <w:tcW w:w="110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(92,948)</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(12,817)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(15,021)</w:t>
            </w:r>
          </w:p>
        </w:tc>
        <w:tc>
          <w:tcPr>
            <w:tcW w:w="114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(16,345)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(6,337)</w:t>
            </w:r>
          </w:p>
        </w:tc>
        <w:tc>
          <w:tcPr>
            <w:tcW w:w="11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(2,665)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472,864</w:t>
            </w:r>
          </w:p>
        </w:tc>
        <w:tc>
          <w:tcPr>
            <w:tcW w:w="114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508,793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70,165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207,789</w:t>
            </w:r>
          </w:p>
        </w:tc>
        <w:tc>
          <w:tcPr>
            <w:tcW w:w="110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178,037</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24,551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29,808</w:t>
            </w:r>
          </w:p>
        </w:tc>
        <w:tc>
          <w:tcPr>
            <w:tcW w:w="114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52,090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5,017</w:t>
            </w:r>
          </w:p>
        </w:tc>
        <w:tc>
          <w:tcPr>
            <w:tcW w:w="110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83,229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11,477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beginning of the year</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86,254</w:t>
            </w:r>
          </w:p>
        </w:tc>
        <w:tc>
          <w:tcPr>
            <w:tcW w:w="114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116,062</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116,062</w:t>
            </w:r>
          </w:p>
        </w:tc>
        <w:tc>
          <w:tcPr>
            <w:tcW w:w="110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168,152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23,190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end of the year</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116,062</w:t>
            </w:r>
          </w:p>
        </w:tc>
        <w:tc>
          <w:tcPr>
            <w:tcW w:w="114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168,152</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23,190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121,079</w:t>
            </w:r>
          </w:p>
        </w:tc>
        <w:tc>
          <w:tcPr>
            <w:tcW w:w="110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251,381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34,667</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Our net cash used in operating activities was RMB92.9 million (US$12.8 million) for the six months ended June 30, 2023. This amount was primarily attributable to net loss of RMB113.7 million (US$15.7 million) in the year adjusted for certain non-cash items, primarily consisting of (i) depreciation and amortization of RMB17.3 million (US$2.4 million); (ii) provision of allowance for credit losses of RMB4.7 million (US$0.7 million);</w:t>
      </w:r>
    </w:p>
    <w:p>
      <w:pPr>
        <w:spacing w:after="0" w:line="1" w:lineRule="exact"/>
        <w:rPr>
          <w:sz w:val="20"/>
          <w:szCs w:val="20"/>
          <w:color w:val="auto"/>
        </w:rPr>
      </w:pPr>
    </w:p>
    <w:p>
      <w:pPr>
        <w:jc w:val="both"/>
        <w:ind w:left="120" w:right="20" w:hanging="4"/>
        <w:spacing w:after="0" w:line="252" w:lineRule="auto"/>
        <w:tabs>
          <w:tab w:leader="none" w:pos="46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from equity method investment of RMB4.1 million (US$0.6 million); and (iv) changes in certain operating assets and liabilities that affected operating cash flows, primarily consisting of (a) an increase in prepaid expenses and other current assets of RMB26.8 million (US$3.7 million) resulting from increased payment to third-parties to support our business growth; and (b) an increase in contract assets of RMB25.7 million (US$3.5 million) resulting from delivery services; partially offset by a decrease in accounts receivables of RMB16.0 million (US$2.2 million) resulting from payment received from our OEM customers for digitalization solutions and an increase in accrued expenses and other current liabilities of RMB15.4 million (US$2.1 million) resulting from our overall business growth.</w:t>
      </w:r>
    </w:p>
    <w:p>
      <w:pPr>
        <w:spacing w:after="0" w:line="19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net cash used in operating activities was RMB440.4 million (US$60.7 million) for the year ended December 31, 2022. This amount was primarily attributable to net loss of RMB390.9 million (US$53.9 million) in the year adjusted for certain non-cash items, primarily consisting of</w:t>
      </w:r>
    </w:p>
    <w:p>
      <w:pPr>
        <w:jc w:val="both"/>
        <w:ind w:left="120" w:hanging="4"/>
        <w:spacing w:after="0" w:line="251" w:lineRule="auto"/>
        <w:tabs>
          <w:tab w:leader="none" w:pos="39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RMB36.3 million (US$5.0 million); (ii) provision of allowance for credit losses of RMB11.3 million (US$1.6 million); (iii) share of profit from equity method investment of RMB4.5 million (US$0.6 million); and (iv) changes in certain operating assets and liabilities that affected operating cash flows, primarily consisting of (a) an increase in accounts receivables of RMB64.5 million (US$8.9 million) resulting from COVID-19 pandemic that led to an increase in settlement cycle for certain of our OEM customers, (b) an increase in amounts due from related parties of RMB35.7 million (US$4.9 million) resulting from delivery services, financial products referral services, used car inspection and certification services and other management and administrative support provided to Souche Holdings Ltd, (c) an increase in contract assets of RMB19.9 million (US$2.7 million) resulting from the growth of our delivery services, and (d) an increase in prepaid expense and other current assets of RMB24.7 million (US$3.4 million) resulting from increased payment to third-parties to support our business growth, partially offset by an increase in contract liabilities and customer advances of RMB19.6 million (US$2.7 million) resulting from prepayment and advances from our customers for</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digitalization solutions and used car inspection and certification services, an increase in accounts payable of RMB11.1 million (US$1.5 million) resulting from an increase in payables to third-party service providers to support our business growth and an increase in accrued expenses and other current liabilities of RMB19.0 million (US$2.6 million) resulting from our overall business growth.</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Our net cash used in operating activities was RMB428.1 million for the year ended December 31, 2021. This amount was primarily attributable to net loss of RMB445.3 million in the year adjusted for certain non-cash items, primarily consisting of (i) depreciation and amortization of RMB38.9 million; (ii) provision of allowance for credit losses of RMB8.7 million; (iii) deferred income tax benefit of RMB10.7 million; and</w:t>
      </w:r>
    </w:p>
    <w:p>
      <w:pPr>
        <w:spacing w:after="0" w:line="1" w:lineRule="exact"/>
        <w:rPr>
          <w:sz w:val="20"/>
          <w:szCs w:val="20"/>
          <w:color w:val="auto"/>
        </w:rPr>
      </w:pPr>
    </w:p>
    <w:p>
      <w:pPr>
        <w:jc w:val="both"/>
        <w:ind w:left="120" w:hanging="4"/>
        <w:spacing w:after="0" w:line="253" w:lineRule="auto"/>
        <w:tabs>
          <w:tab w:leader="none" w:pos="4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certain operating assets and liabilities that affected operating cash flows, primarily consisting of (a) an increase in accounts receivables of RMB33.9 million resulting from the growth of our business, especially the customer engagement solution provided to OEMs, and (b) an increase in amounts due from related parties of RMB38.5 million resulting from delivery services, used car inspection and certification services and other management and administrative support provided to Souche Holdings Ltd, partially offset by an increase in accrued expenses and other current liabilities of RMB48.5 million resulting from our overall business growth.</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cash used in investing activities is primarily related to purchase of fixed assets, purchases of short-term investment, acquisition of long-term investment and disposal of subsidiaries. Our short-term investments mainly include investments in short-term wealth management products offered by financial institutions in the PRC.</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net cash used in investing activities was RMB2.7 million (US$0.4 million) for the six months ended June 30, 2023, which was primarily attributable to purchases of fixed assets of RMB4.4 million (US$0.6 million), partially offset by proceeds from disposal of a subsidiary of RMB1.6 million (US$0.2 million).</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net cash used in investing activities was RMB16.3 million (US$2.3 million) for the year ended December 31, 2022, which was primarily attributable to purchases of fixed assets of RMB15.7 million (US$2.2 million) and acquisition of long-term investment of RMB0.6 million (US$0.09 million).</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net cash used in investing activities was RMB15.0 million for the year ended December 31, 2021, which was primarily attributable to acquisition of long-term investment of RMB11.4 million and purchases of fixed assets of RMB3.6 million.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financing activities primarily consisted of contributions from shareholders and proceeds from short-term loans.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Net cash flow provided by financing activities was RMB178.0 million (US$24.6 million) for the six months ended June 30, 2023, which was primarily due to proceeds from loans provided by Souche Holdings Ltd of RMB187.6 million (US$25.9 million), proceeds from short-term loans provided by third party of RMB80.0 million (US$11.0 million), partially offset by repayment of short-term loans provided by third parties of RMB80.0 million (US$11.0 million) and repayments of short-term loans provided by related party of RMB10.0 million (US$1.4 million).</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Net cash flow provided by financing activities was RMB508.8 million (US$70.2 million) for the year ended December 31, 2022, which was primarily due to proceeds from loans provided by Souche Holdings Ltd of RMB355.4 million (US$49.0 million), proceeds from short-term loans provided by third party of RMB70.0 million (US$9.7 million), contribution from Souche Holdings Ltd of RMB38.6 million (US$5.3 million), proceeds from short-term loans provided by related parties of RMB30.0 million (US$4.1 million) and contribution from noncontrolling interests of RMB14.8 million (US$2.0 million).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Net cash flow provided by financing activities was RMB472.9 million for the year ended December 31, 2021, which was due to proceeds from loans provided by Souche Holdings Ltd of RMB409.6 million and contribution from Souche Holdings Ltd of RMB63.3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capital expenditures were incurred primarily in connection with purchases of fixed assets. Our capital expenditures were RMB3.6 million, RMB15.7 million (US$2.2 million) and RMB4.4 million (US$0.6 million) in 2021 and 2022 and for the six months ended June 30, 2023, respectively. We will continue to make capital expenditures to meet the expected growth of our operations and expect cash generated from our operating activities and financing activities will continue to meet our capital expenditure needs in the foreseeable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Other than the ordinary cash requirements for our operations and capital expenditures, our material cash requirements as of June 30, 2023 primarily include our contractual obligations.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June 30, 2023:</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Payment Due by</w:t>
            </w: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0"/>
                <w:szCs w:val="10"/>
                <w:color w:val="auto"/>
              </w:rPr>
            </w:pPr>
          </w:p>
        </w:tc>
        <w:tc>
          <w:tcPr>
            <w:tcW w:w="130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0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14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2027</w:t>
            </w:r>
          </w:p>
        </w:tc>
        <w:tc>
          <w:tcPr>
            <w:tcW w:w="4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RMB thousands)</w:t>
            </w:r>
          </w:p>
        </w:tc>
        <w:tc>
          <w:tcPr>
            <w:tcW w:w="8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94,707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16,293</w:t>
            </w:r>
          </w:p>
        </w:tc>
        <w:tc>
          <w:tcPr>
            <w:tcW w:w="16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29,466</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17,311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31,637</w:t>
            </w:r>
          </w:p>
        </w:tc>
        <w:tc>
          <w:tcPr>
            <w:tcW w:w="0" w:type="dxa"/>
            <w:vAlign w:val="bottom"/>
          </w:tcPr>
          <w:p>
            <w:pPr>
              <w:spacing w:after="0"/>
              <w:rPr>
                <w:sz w:val="1"/>
                <w:szCs w:val="1"/>
                <w:color w:val="auto"/>
              </w:rPr>
            </w:pPr>
          </w:p>
        </w:tc>
      </w:tr>
      <w:tr>
        <w:trPr>
          <w:trHeight w:val="232"/>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94,707</w:t>
            </w:r>
          </w:p>
        </w:tc>
        <w:tc>
          <w:tcPr>
            <w:tcW w:w="46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16,293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29,466</w:t>
            </w:r>
          </w:p>
        </w:tc>
        <w:tc>
          <w:tcPr>
            <w:tcW w:w="46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17,311</w:t>
            </w:r>
          </w:p>
        </w:tc>
        <w:tc>
          <w:tcPr>
            <w:tcW w:w="46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primary operating lease obligations comprise of office and warehouse rent expenses.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for those disclosed above, we did not have any significant capital or other commitments, long-term obligations, or guarantees as of June 30,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Other than operating lease obligations set forth in the table under the caption “Contractual Obligations” above, we have not entered into any material financial guarantees or other commitments to guarantee the payment obligations of any third parties. In addition, we have not entered into any derivative contracts that are indexed to our shares and classified as shareholders’ equity or that are not reflected in our combined and consolidated financial statements. Furthermore, we do not have any retained or contingent interest in assets transferred to an uncombined or unconsolidated entity that serves as credit, liquidity or market risk support to such entity. We do not have any variable interest in any uncombined or unconsolidated entity that provides financing, liquidity, market risk or credit support to us or engages in leasing, hedging or research and development services with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material operations of our own. We conduct our operations primarily through our subsidiaries in China. As a result, our ability to pay dividends and to finance any debt we may incur depends upon dividends paid by our subsidiaries. If our subsidiaries or any newly formed subsidiaries incur debt on their own behalf in the future, the instruments governing their debt may restrict their ability to pay dividends to us.</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our subsidiaries in China are permitted to pay dividends to us only out of their retained earnings, if any, as determined in accordance with the Accounting Standards for Business Enterprise as promulgated by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Ministry of Finance of the PRC, or PRC GAAP. Pursuant to the law applicable to China’s foreign investment enterprise, our subsidiaries that are foreign investment enterprises in the PRC have to make appropriation from their after-tax profit, as determined under PRC GAAP, to reserve funds including</w:t>
      </w:r>
    </w:p>
    <w:p>
      <w:pPr>
        <w:jc w:val="both"/>
        <w:ind w:left="120" w:right="20" w:hanging="4"/>
        <w:spacing w:after="0" w:line="255" w:lineRule="auto"/>
        <w:tabs>
          <w:tab w:leader="none" w:pos="3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subsidiaries’ discretion.</w:t>
      </w:r>
    </w:p>
    <w:p>
      <w:pPr>
        <w:spacing w:after="0" w:line="18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As an offshore holding company, we are permitted under PRC laws and regulations to provide funding from the proceeds of our offshore fund raising activities to our PRC subsidiaries only through loans or capital contributions, and to our combined or consolidated affiliated entities only through loans, in each case subject to the satisfaction of the applicable government registration, reporting, filing and approval requirements. See “Risk Factors— Risks Related to Doing Business in China—PRC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 As a result, there is uncertainty with respect to our ability to provide prompt financial support to our PRC subsidiaries and the VIEs when needed. Notwithstanding the foregoing, our PRC subsidiaries may use their own retained earnings (rather than Renminbi converted from foreign currency denominated capital) to provide financial support to our combined or consolidated affiliated entities either through entrustment loans from our PRC subsidiaries to the VIEs or direct loans to such combined or consolidated affiliated entity’s nominee shareholders, which would be contributed to the combined or consolidated variable entity as capital injections. Such direct loans to the nominee shareholders would be eliminated in our combined and consolidated financial statements against the combined or consolidated affiliated entity’s share capital.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this offering, we were a private company with limited accounting and financial reporting personnel and other resources to address our internal controls and procedures. In connection with the audits of our financial statements included in this prospectus, we and our independent registered public accounting firm identified a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material weakness identified relates to the lack of sufficient accounting and financial reporting personnel with requisite knowledge, skills and experience in application of U.S. GAAP and SEC reporting requirements.</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in the process of implementing a number of measures to address the material weakness identified, including: (i) hiring additional accounting and financial reporting personnel with U.S. GAAP and SEC reporting experience, (ii) expanding the capabilities of existing accounting and financial reporting personnel through continuous training and education in the accounting and reporting requirements under U.S. GAAP, and SEC rules and regulations, and (iii) enhancing our existing accounting policy manual for period-end closing processes to ensure the accuracy and completeness of our financial statements and related disclosures.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Factors—Risks Relating to Our Business and Industry—If we fail to implement and maintain an effective system of internal control over financial reporting, we may be unable to accurately report our results of operations, meet our reporting obligations or prevent fraud, and investor confidence and the market price of our ADSs may be materially and adversely affected.”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June 30, 2023, we had a total of 64 employees in our finance department as well as an internal control team, consisting of four members including a senior director who has prior audit work experience of U.S.-listed companies, that is responsible for overseeing the establishment of the internal control system of our company, the formulation and implementation of internal control process, and the identification and resolution of key issues and risk management relating to internal control. We have hired a financial manager for our finance department with over ten years of prior work experience in finance departments of different enterprises, including work experience a U.S.-listed company. In addition, we have hired three employees dedicated to the preparation of financial statements and SEC reporting, all of whom have prior work experience in audit firms. We plan to recruit additional employees with strong knowledge and experience in U.S. GAAP accounting and SEC reporting and can assist us in the preparation of financial statements and SEC reporting. We will also continue to provide our accounting and financial reporting staff with extensive training resources, including organizing regular internal training sessions related to U.S. GAAP and SEC reporting matters.</w:t>
      </w:r>
    </w:p>
    <w:p>
      <w:pPr>
        <w:spacing w:after="0" w:line="18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increasing the depth and experience within our accounting and finance team, we plan to adopt additional measures that will improve our internal control over financial reporting, including designing and implementing improved processes and internal controls. For instance, we have planned an assessment of our internal control gaps by specialized consultants, as well as the adoption of processes and corrections of controls arising from this assessment. We expect to complete our assessment by the end of the second quarter of 2025.</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we also expect to adopt measures to improve internal control over financial reporting, including, among others, (i) creating a U.S. GAAP accounting and reporting policies and procedures manual, which will be maintained, reviewed and updated on a regular basis, to latest U.S. GAAP accounting standards; (ii) establishing “tone at the top” entity level controls, including but not limited to an audit committee with at least one qualified financial expert and an internal audit department, with the oversight of the board of directors with proper composition; and (iii) identifying the relevant controls that address the quality of the information generated and used in the performance of key controls supporting the financial statement line items and footnote disclosure.</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Despite the above-mentioned measures, we cannot assure you that our efforts will be effective or prevent any future material weakness or significant deficiency in our internal control over financial reporting. Moreover, while we currently do not expect that the costs to remediate these material weaknesses will adversely affect our business, we may incur additional expenses in future that may adversely affect our business.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company with less than US$1.235 billion in revenue for fiscal year of 2022,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invested in liquid investments with original maturities of three months or less.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of our revenues and most of our expenses are denominated in RMB. Our exposure to foreign exchange risk primarily relates to cash and cash equivalent denominated in U.S. dollars as a result of net proceeds from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offering.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the ADSs will be affected by the exchange rate between U.S. dollar and RMB because the value of our business is effectively denominated in RMB, while the ADSs representing our ordinary shares will be traded in U.S. dollars.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value of the RMB against the U.S. dollar and other currencies is affected by, among other things, changes in the China’s political and economic conditions. The RMB does not fluctuate with the U.S. dollar. Although the People’s Bank of China regularly monitors the foreign exchange market to prevent significant short-term fluctuations in the exchange rate, the RMB may appreciate or depreciate significantly in value against the U.S. dollar in the medium to long term.</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RMB against the U.S. dollar would reduce the RMB amount we receive from the conversion. Conversely, if we decide to convert RMB into U.S. dollars for the purpose of making payments for dividends on our ordinary shares or ADSs, servicing our outstanding debt, or for other business purposes, appreciation of the U.S. dollar against the RMB would reduce the U.S. dollar amounts available to us.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US$      million from this offering, after deducting underwriting discounts and commissions and the estimated offering expenses payable by us, based on the initial offering price of US$      per ADS, the midpoint of the estimated initial public offering price range set forth on the front cover of this prospectus, assuming the underwriters do not exercise their option to purchase additional ADSs.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June 30, 2023, we had RMB-denominated cash and cash equivalents of RMB251.4 million (US$34.7 million). A 10% depreciation of RMB against the U.S. dollar based on the foreign exchange rate on June 30, 2023 would result in a decrease of US$3.1 million in cash and cash equivalents. A 10% appreciation of RMB against the U.S. dollar based on the foreign exchange rate on June 30, 2023 would result in an increase of US$3.7 million in cash and cash equivalents.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Since our inception, inflation in China has not materially impacted our results of operations. According to the National Bureau of Statistics of China, the year-over-year percent changes in the consumer price index for December 2021 and 2022 were increases of 1.5% and 1.8%, respectively. Although we have not in the past been materially affected by inflation since our inception, we can provide no assurance that we will not be affected in the future by higher rates of inflation in China.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Unless otherwise noted, all the information and data presented in this section, and certain information, including statistics and estimates, set forth elsewhere in this prospectus has been derived from an industry report commissioned by us and independently prepared by CIC in connection with this offering. We believe that the sources of such information are appropriate, and we have taken reasonable care in extracting and reproducing such information. We have no reason to believe that such information is false or misleading in any material respect or that any fact has been omitted that would render such information false or misleading in any material respect. However, neither we nor any other party involved in this offering has independently verified such information, and neither we nor any other party involved in this offering makes any representation as to the accuracy or completeness of such information. Therefore, investors are cautioned not to place any undue reliance on the information, including statistics and estimates, set forth in this section or similar information included elsewhere in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Automotive Industry in China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 of China’s Automotive Industry</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China became the world’s largest automotive market with a total car parc of 273.6 million in 2022, surpassing the U.S. which had a total car parc of 252.5 million in the same year, according to CIC.</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Despite its massive scale, China’s car parc is expected to continue to grow significantly due to the low level of car ownership relative to its population. Car ownership per 1,000 persons was 194 in China in 2022, compared to 769 in the U.S. in the same year, according to CIC. This number is expected to reach 266 in 2027, representing a CAGR of 6.5% as compared to 2022, according to CIC. CIC expects China’s total car parc to reach 373.8 million by 2027, representing a CAGR of 6.4% from 2022 to 2027.</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China’s growing car parc is expected to drive growth in both new car and used car markets. China’s new car sales volume reached 24.0 million in 2022 and is expected to further increase to 31.5 million in 2027, representing a CAGR of 5.6% from 2022 to 2027. China’s used car sales volume reached 12.5 million in 2022 and is expected to increase to 24.7 million in 2027, representing an even higher CAGR of 14.5% for the same period, according to CIC.</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Notably, China’s used car sales volume has significantly increased since 2015 both in absolute number and as a percentage of total car sales. Used car sales volume has increased from 10.1 million in 2018 to 12.5 million in 2022, respectively, representing a CAGR of 5.4% from 2018 to 2022, far exceeding the negative CAGR of 0.4% of new car sales volume for the same period, according to CIC. The annual ratios of used car versus new car sales volume increased from 41.6% in 2018 to 52.3% in 2022, respectively. In comparison, the same ratios in the U.S. for the same periods were 233.6% and 270.6%, respectively, according to CIC.</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Auto Commerce—Key Participants and Key Services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China’s impressive car sales volumes are achieved by its auto merchants, namely, the enterprises and individuals who engage in the buying and/or selling of cars, whether new or used.</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“Auto merchants” in the used car sector consist primarily of (i) used car dealers, i.e., individuals or entities whose business is buying used cars from various sources, such as from car owners and other dealers, and selling used cars to consumers for a profit, and (ii) authorized dealers who receive a large number of used cars for trade-in for new cars they sell. In the new car sector, “auto merchants” include OEMs, authorized dealers, and new car brokers. For details, see “—China’s Used Car Market—Key Participants and Key Services of China’s Used Car Market—Key Participants” and “— China’s New Car Market—Key Participants and Key Services of China’s New Car Market—Key Participants.”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Auto merchants in China cannot successfully conduct their businesses without key services provided by various other industry participants— referred to as auto merchants’ “collaborators”—due to the inherent complexity of automotive transactions. These key services can be divided into two categories: (i) digitalization solutions; and (ii) transactions services.</w:t>
      </w:r>
    </w:p>
    <w:p>
      <w:pPr>
        <w:spacing w:after="0" w:line="79" w:lineRule="exact"/>
        <w:rPr>
          <w:sz w:val="20"/>
          <w:szCs w:val="20"/>
          <w:color w:val="auto"/>
        </w:rPr>
      </w:pPr>
    </w:p>
    <w:p>
      <w:pPr>
        <w:ind w:left="1080" w:right="20" w:hanging="532"/>
        <w:spacing w:after="0" w:line="284"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Digitalization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Digitalization is not a step in the auto transaction process; rather, it serves as the fundamental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underpinning every aspect of an auto merchant’s operations and is often a determining factor to their efficiency and success.</w:t>
      </w:r>
    </w:p>
    <w:p>
      <w:pPr>
        <w:spacing w:after="0" w:line="52" w:lineRule="exact"/>
        <w:rPr>
          <w:rFonts w:ascii="Times New Roman" w:cs="Times New Roman" w:eastAsia="Times New Roman" w:hAnsi="Times New Roman"/>
          <w:sz w:val="18"/>
          <w:szCs w:val="18"/>
          <w:color w:val="auto"/>
        </w:rPr>
      </w:pPr>
    </w:p>
    <w:p>
      <w:pPr>
        <w:jc w:val="both"/>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digitalization among auto merchants in China vary, based on their scales and business models. For example, while OEMs have reached the highest level of digitalization for their operations, used car dealers in China have made limited progress in adopting digital solutions.</w:t>
      </w:r>
    </w:p>
    <w:p>
      <w:pPr>
        <w:spacing w:after="0" w:line="79" w:lineRule="exact"/>
        <w:rPr>
          <w:rFonts w:ascii="Times New Roman" w:cs="Times New Roman" w:eastAsia="Times New Roman" w:hAnsi="Times New Roman"/>
          <w:sz w:val="18"/>
          <w:szCs w:val="18"/>
          <w:color w:val="auto"/>
        </w:rPr>
      </w:pPr>
    </w:p>
    <w:p>
      <w:pPr>
        <w:jc w:val="both"/>
        <w:ind w:left="1080" w:hanging="532"/>
        <w:spacing w:after="0" w:line="257"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used cars, key transaction services include transaction facilitation, used car inspection and certification,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products referral, used car recondition, and marketing services. For new cars, key transaction services include marketing, delivery, new car ancillary services and financial products referral services. The TAM of the car transaction services market in China reached RMB633.2 billion in 2022, including RMB175.2 billion from the used car sector and RMB458.0 billion from the new car sector, according to CIC. On a per unit basis, the transaction services spending was approximately RMB13,978.8 per used car transaction and approximately RMB19,103.3 per new car transaction in 2022, according to the same source.</w:t>
      </w:r>
    </w:p>
    <w:p>
      <w:pPr>
        <w:spacing w:after="0" w:line="18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details, see “—China’s Used Car Market—Key Participants and Key Services of China’s Used Car Market—Key Services” and “—China’s New Car Market—Key Participants and Key Services of China’s New Car Market—Key Services.”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chart illustrates the auto commerce value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17145</wp:posOffset>
            </wp:positionV>
            <wp:extent cx="4637405" cy="16459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3740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CIC</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China’s Used Car Market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 of China’s Used Car Market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China’s used car market has witnessed significant growth in both transaction volume and value, primarily driven by its growing car parc, which surpassed the U.S. and became the world’s largest in 2022, according to CIC.</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China’s used car market is expected to witness tremendous growth in the next several years at a faster rate than in the past years, driven by its massive and growing car parc entering the right maturity for used car sale.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chart below illustrates the total volume and value of used car sales in China for the periods indicated. As indicated in the chart, the total volume and value of used car sales in China have continued to grow since 2015, despite fluctuations in 2022 due to the impacts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140335</wp:posOffset>
            </wp:positionV>
            <wp:extent cx="5194935" cy="18859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9493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CADA, CIC</w:t>
      </w:r>
    </w:p>
    <w:p>
      <w:pPr>
        <w:spacing w:after="0" w:line="22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Comparisons to more mature markets such as the U.S. in key metrics for used car penetration also suggest great growth potential for China’s used car market.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Number of used car sales per 1,000 persons.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number of used car sales per 1,000 persons was only 9 in China in 2022, significantly less than 1/13 of the corresponding 122 in the U.S. in the same year, according to CIC. The chart below illustrates the number of used car sales per 1,000 persons in China and the U.S., respectively,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140335</wp:posOffset>
            </wp:positionV>
            <wp:extent cx="5117465" cy="23742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1746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CADA, CIC</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Used car sales as a percentage of total car sales.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Used car sales as a percentage of total car sales by volume was 34% in China in 2022, as compared to 73% in the U.S. in the same year, according to CIC. The chart below illustrates used car sales as a percentage of total car sales by volume in China and the U.S., respectively,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140335</wp:posOffset>
            </wp:positionV>
            <wp:extent cx="5194935" cy="23056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9493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CADA, CIC</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Used car sales penetration rate.</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Used car sales penetration rate was 4.6% in China in 2022, compared to 16.4% in the U.S. in the same year, according to CIC. In other words, approximately 90% of car parc in China were still with their first owners and have never entered used car commerce. Used car sales penetration rate is calculated by dividing used car sales volume by total car parc.</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 below illustrates used car sales penetration rate in China and the U.S., respectively,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2305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0319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CADA, CIC</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China’s Used Car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factors are expected to drive the growth of China’s used car market:</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Strong Car Parc Profile—Largest in the World, Growing, and Mature</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Having achieved the world’s largest car parc in 2022, China has a massive and fast-growing pool of used cars for sale. China’s car parc reached 273.6 million in 2022 and is expected to continue to grow at a CAGR of 6.4% to 373.8 million in 2027, according to CIC, providing the most fundamental and high-certainty driver for used car growth.</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To put this into context, car parc in the U.S. was 252.5 million in 2022 and is expected to grow at a modest CAGR of 0.1% from 2022 to 2027, according to CIC. The chart below illustrates car parcs in China and the U.S.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920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CIC</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average age of China’s car parc grew from 4.9 years in 2018 to 6.2 years in 2022, entering an age range most conducive for used car sale, and is expected to grow to 8.0 years in 2027, according to CIC. According to the same source, the average age of used car sold in 2022 is 6.8 years. Used cars are transacted most frequently at the age of six or above, and around 60% of the used cars sold in the U.S. aged between six and 10 years in 2022, according to CIC.</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Favorable Government Policies—Eliminating Barriers and Lowering Taxes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Numerous favorable policy changes have provided additional tailwind for China’s used car market. These policy changes include:</w:t>
      </w:r>
    </w:p>
    <w:p>
      <w:pPr>
        <w:spacing w:after="0" w:line="129"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Removal of Barriers to Cross-region Used Car Sales</w:t>
      </w:r>
    </w:p>
    <w:p>
      <w:pPr>
        <w:spacing w:after="0" w:line="119" w:lineRule="exact"/>
        <w:rPr>
          <w:rFonts w:ascii="Times New Roman" w:cs="Times New Roman" w:eastAsia="Times New Roman" w:hAnsi="Times New Roman"/>
          <w:sz w:val="18"/>
          <w:szCs w:val="18"/>
          <w:color w:val="auto"/>
        </w:rPr>
      </w:pPr>
    </w:p>
    <w:p>
      <w:pPr>
        <w:jc w:val="both"/>
        <w:ind w:left="1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provinces in China used to have in place policies that restricted inbound used cars. Given that China is a large and naturally tiered market for used car sales, such restrictions have significantly hindered the development of China’s used car market. In 2022, the NDRC and several other agencies of China’s central government jointly issued multiple policies to, among other things, remove such cross-region restrictions to boost used car transactions. In July 2023, the NDRC announced a series of measures aimed at stimulating auto consumption, with guidelines designed to “encourage trade-ins of obsolete cars,” “facilitate the trading and registration of used vehicles,” and “increase financial support for auto consumption.” These guidelines are expected to further bolster the cross-regional used car transactions.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Reform of Used Car Related Tax Rules and Registration Rules</w:t>
      </w:r>
    </w:p>
    <w:p>
      <w:pPr>
        <w:spacing w:after="0" w:line="119" w:lineRule="exact"/>
        <w:rPr>
          <w:rFonts w:ascii="Times New Roman" w:cs="Times New Roman" w:eastAsia="Times New Roman" w:hAnsi="Times New Roman"/>
          <w:sz w:val="18"/>
          <w:szCs w:val="18"/>
          <w:color w:val="auto"/>
        </w:rPr>
      </w:pPr>
    </w:p>
    <w:p>
      <w:pPr>
        <w:jc w:val="both"/>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VAT tax rate for used car sales was reduced from 2% to 0.5%, effective in May 2020. Starting in January 2023, the process of obtaining a used car sales tax receipt, known as “</w:t>
      </w:r>
      <w:r>
        <w:rPr>
          <w:rFonts w:ascii="Times New Roman" w:cs="Times New Roman" w:eastAsia="Times New Roman" w:hAnsi="Times New Roman"/>
          <w:sz w:val="18"/>
          <w:szCs w:val="18"/>
          <w:i w:val="1"/>
          <w:iCs w:val="1"/>
          <w:color w:val="auto"/>
        </w:rPr>
        <w:t>fapiao</w:t>
      </w:r>
      <w:r>
        <w:rPr>
          <w:rFonts w:ascii="Times New Roman" w:cs="Times New Roman" w:eastAsia="Times New Roman" w:hAnsi="Times New Roman"/>
          <w:sz w:val="18"/>
          <w:szCs w:val="18"/>
          <w:color w:val="auto"/>
        </w:rPr>
        <w:t>,” has also recently been simplified. Several other policy changes were also introduced in 2022 and 2023 to reduce administrative burdens and enhance operational efficiency for dealers, including permitting the use of temporary license plates for used cars. This also includes allowing used cars to be categorized as inventory as opposed to corporate asset under applicable tax rules, which provides improved tax treatment and streamlines accounting processes for used car dealers.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Growing Consumers Acceptance of Used Cars</w:t>
      </w:r>
    </w:p>
    <w:p>
      <w:pPr>
        <w:spacing w:after="0" w:line="131"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Increased Supply of Quality Used Cars in the Market</w:t>
      </w:r>
    </w:p>
    <w:p>
      <w:pPr>
        <w:spacing w:after="0" w:line="119" w:lineRule="exact"/>
        <w:rPr>
          <w:rFonts w:ascii="Times New Roman" w:cs="Times New Roman" w:eastAsia="Times New Roman" w:hAnsi="Times New Roman"/>
          <w:sz w:val="18"/>
          <w:szCs w:val="18"/>
          <w:color w:val="auto"/>
        </w:rPr>
      </w:pPr>
    </w:p>
    <w:p>
      <w:pPr>
        <w:jc w:val="both"/>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has emerged as the largest automobile market in the world, according to CIC. As new car sales increase, the used car market also expands as these vehicles eventually enter the used car market. The overall quality of used cars in China has improved significantly, as automakers have made notable advancements in terms of durability, reliability, and overall build quality. The growth of vehicle leasing and trade-in programs in China has also boosted the supply of used cars. As more new car buyers trade in their old vehicles, the supply of used cars in good condition increases.</w:t>
      </w:r>
    </w:p>
    <w:p>
      <w:pPr>
        <w:spacing w:after="0" w:line="8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Growing Consumer Acceptance</w:t>
      </w:r>
    </w:p>
    <w:p>
      <w:pPr>
        <w:spacing w:after="0" w:line="119" w:lineRule="exact"/>
        <w:rPr>
          <w:rFonts w:ascii="Times New Roman" w:cs="Times New Roman" w:eastAsia="Times New Roman" w:hAnsi="Times New Roman"/>
          <w:sz w:val="18"/>
          <w:szCs w:val="18"/>
          <w:color w:val="auto"/>
        </w:rPr>
      </w:pPr>
    </w:p>
    <w:p>
      <w:pPr>
        <w:jc w:val="both"/>
        <w:ind w:left="1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consumers are increasingly embracing the idea of buying used cars. Traditionally, car ownership in China has been associated with social status and prestige. However, as consumer attitudes evolve, there has been a shift towards viewing cars more as a utility rather than a status symbol. Chinese consumers are increasingly focusing on meeting their transportation needs rather than solely seeking social validation. The growing consumer acceptance of purchasing used cars is further fueled by the more standardized and streamlined transaction process and increased transparency and transaction security attributed to the growing adoption of reliable used car inspection and certification services.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Proliferation of Comprehensive Car-related Support and Services</w:t>
      </w:r>
    </w:p>
    <w:p>
      <w:pPr>
        <w:spacing w:after="0" w:line="119" w:lineRule="exact"/>
        <w:rPr>
          <w:rFonts w:ascii="Times New Roman" w:cs="Times New Roman" w:eastAsia="Times New Roman" w:hAnsi="Times New Roman"/>
          <w:sz w:val="18"/>
          <w:szCs w:val="18"/>
          <w:color w:val="auto"/>
        </w:rPr>
      </w:pPr>
    </w:p>
    <w:p>
      <w:pPr>
        <w:jc w:val="both"/>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proliferation of comprehensive car-related support and services, along with strong quality assurance measures, not only builds trust and confidence in the used car market but also makes the process more convenient and reliable for both buyers and sellers. For example, quality assurance measures, such as thorough used car inspections and certifications and warranties, instill confidence in buyers. This trust is essential in the used car market where uncertainty about a vehicle’s condition is a significant concern. Additionally, providing financing options tailored for used cars, as well as facilitating insurance solutions, makes it easier for buyers to complete transactions.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Key Participants and Key Services of China’s Used Car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diagram below illustrates the key participants and commerce flow of China’s used car market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171450</wp:posOffset>
            </wp:positionV>
            <wp:extent cx="4637405" cy="21088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63740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CIC</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Key Participants in Used Car Market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Used Car Dealers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Used car dealers play a central role in China’s used car market. Approximately 80% of the used car sales as measured by sales volume in 2022 were conducted through used car dealers, according to CIC.</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Despite the large number of them and the key role they play in the used car market, used car dealers in China are small in scale individually and geographically dispersed.</w:t>
      </w:r>
    </w:p>
    <w:p>
      <w:pPr>
        <w:spacing w:after="0" w:line="67" w:lineRule="exact"/>
        <w:rPr>
          <w:sz w:val="20"/>
          <w:szCs w:val="20"/>
          <w:color w:val="auto"/>
        </w:rPr>
      </w:pPr>
    </w:p>
    <w:p>
      <w:pPr>
        <w:ind w:left="1080" w:right="2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over 200,000 active used car dealers in China as of December 31, 2022, and 80% of them are SMEs with less than three employees, according to CIC.</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car sales is an inherently complex business that demands a high degree of informational and operational coordination among various collaborators, both online and offline—for instance, while some used car dealers have begun to use online channels to showcase their inventory, the successful completion of a sale requires conducting thorough used car inspections which must be conducted offline. However, nearly all of the used car dealers in China simply do not have the scale and resources to effectively coordinate with the online and offline elements of their operational and sales processes.</w:t>
      </w:r>
    </w:p>
    <w:p>
      <w:pPr>
        <w:spacing w:after="0" w:line="88"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many used car dealers operate without the benefit of modern information technology. Key aspects of their operating processes, from inventory sourcing to inventory management, to leads generation and customer management, and from internal administration to financial analysis, are nearly all offline.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Authorized Dealers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Authorized dealers, also known as 4S (sales, service, spare parts, and surveys) dealerships in China, are franchised dealers that sell new cars for OEMs. Authorized dealers serve as a channel for used car sales as used cars are traded in by their owners to authorized dealers who will then resell to used car dealers. Authorized dealers accounted for over 35% of used car sources in China, according to CIC.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Key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services in China’s used car market include the following:</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Digitalization Solutions</w:t>
      </w:r>
    </w:p>
    <w:p>
      <w:pPr>
        <w:spacing w:after="0" w:line="11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Used car dealers are increasingly using digital tools to streamline their business processes and lower operational costs driven by the growing prevalence of these technologies and heightened competition for operational efficiency. Used car dealers are adopting integrated operating systems with advanced digital solutions to help them navigate various operational tasks, from inventory sourcing, inventory management, marketing, sales to business analysis and internal administration. The TAM of digitalization solutions in China’s used car market reached RMB2.5 billion in 2022 and is expected to grow at CAGR of 27.8% to RMB8.4 billion in 2027, according to CIC.</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Services</w:t>
      </w:r>
    </w:p>
    <w:p>
      <w:pPr>
        <w:spacing w:after="0" w:line="131"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 Facilitation Services</w:t>
      </w:r>
    </w:p>
    <w:p>
      <w:pPr>
        <w:spacing w:after="0" w:line="119" w:lineRule="exact"/>
        <w:rPr>
          <w:rFonts w:ascii="Times New Roman" w:cs="Times New Roman" w:eastAsia="Times New Roman" w:hAnsi="Times New Roman"/>
          <w:sz w:val="18"/>
          <w:szCs w:val="18"/>
          <w:color w:val="auto"/>
        </w:rPr>
      </w:pPr>
    </w:p>
    <w:p>
      <w:pPr>
        <w:jc w:val="both"/>
        <w:ind w:left="1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facilitation consists of the facilitation of C2C, C2B, B2B and B2C transactions. One of the major challenges faced by used car dealers is their inability to effectively source used car inventory that meet their sales needs, because used cars ultimately come from individual owners and therefore their sources are random and dispersed in nature. B2B transaction facilitation services play a key role in enabling used car dealers to efficiently and effectively source and sell their inventory and interact with customers. These services include online marketplace and listing platforms where used car dealers can source used cars from a nationally pooled inventory and showcase their vehicle listings to a broader audience, as well as social media integration and digital advertising services that help dealers reach and attract potential customers.</w:t>
      </w:r>
    </w:p>
    <w:p>
      <w:pPr>
        <w:spacing w:after="0" w:line="80" w:lineRule="exact"/>
        <w:rPr>
          <w:rFonts w:ascii="Times New Roman" w:cs="Times New Roman" w:eastAsia="Times New Roman" w:hAnsi="Times New Roman"/>
          <w:sz w:val="18"/>
          <w:szCs w:val="18"/>
          <w:color w:val="auto"/>
        </w:rPr>
      </w:pPr>
    </w:p>
    <w:p>
      <w:pPr>
        <w:jc w:val="both"/>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TAM of the transaction facilitation services in China’s used car market reached RMB52.2 billion in 2022 and is expected to grow at CAGR of 24.3% to RMB154.9 billion in 2027, of which the corresponding B2B transaction facilitation services reached RMB14.6 billion in 2022 and is expected to grow at CAGR of 26.0% to RMB46.4 billion in 2027, according to CIC.</w:t>
      </w:r>
    </w:p>
    <w:p>
      <w:pPr>
        <w:spacing w:after="0" w:line="7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Used Car Inspection and Certification Services</w:t>
      </w:r>
    </w:p>
    <w:p>
      <w:pPr>
        <w:spacing w:after="0" w:line="119" w:lineRule="exact"/>
        <w:rPr>
          <w:rFonts w:ascii="Times New Roman" w:cs="Times New Roman" w:eastAsia="Times New Roman" w:hAnsi="Times New Roman"/>
          <w:sz w:val="18"/>
          <w:szCs w:val="18"/>
          <w:color w:val="auto"/>
        </w:rPr>
      </w:pPr>
    </w:p>
    <w:p>
      <w:pPr>
        <w:jc w:val="both"/>
        <w:ind w:left="110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cars are not standardized merchandises, used car transactions often lack transparency. As a result, reliable used car inspection and certification services play a crucial role in accurately evaluating the vehicle and ensuring it is free from hidden defects. Used car inspection and certification services involve the inspectors performing visual and mechanical inspections and providing an independent review of the vehicles’ conditions. Used car inspections and certification services are key to successfully completing used car transactions, as the overall condition of the vehicle—including its model, age, mileage, and accident history—significantly influences the buyers’ purchasing decisions and the car’s price valuation.</w:t>
      </w:r>
    </w:p>
    <w:p>
      <w:pPr>
        <w:spacing w:after="0" w:line="79" w:lineRule="exact"/>
        <w:rPr>
          <w:rFonts w:ascii="Times New Roman" w:cs="Times New Roman" w:eastAsia="Times New Roman" w:hAnsi="Times New Roman"/>
          <w:sz w:val="18"/>
          <w:szCs w:val="18"/>
          <w:color w:val="auto"/>
        </w:rPr>
      </w:pPr>
    </w:p>
    <w:p>
      <w:pPr>
        <w:ind w:left="11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TAM of the used car inspection and certification services in China’s used car market reached RMB9.8 billion in 2022 and is expected to grow at CAGR of 17.6% to RMB22.2 billion in 2027, according to CIC.</w:t>
      </w:r>
    </w:p>
    <w:p>
      <w:pPr>
        <w:spacing w:after="0" w:line="6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Delivery Services</w:t>
      </w:r>
    </w:p>
    <w:p>
      <w:pPr>
        <w:spacing w:after="0" w:line="119" w:lineRule="exact"/>
        <w:rPr>
          <w:rFonts w:ascii="Times New Roman" w:cs="Times New Roman" w:eastAsia="Times New Roman" w:hAnsi="Times New Roman"/>
          <w:sz w:val="18"/>
          <w:szCs w:val="18"/>
          <w:color w:val="auto"/>
        </w:rPr>
      </w:pPr>
    </w:p>
    <w:p>
      <w:pPr>
        <w:jc w:val="both"/>
        <w:ind w:left="11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auto merchants in China’s used car market utilize third-party service providers to provide title transfer registration and vehicle transportation services to car buyers. Title transfer registration services streamline the intricate steps involved in transferring the ownership of a used car from sellers to buyers. This process traditionally takes place offline and can be particularly complicated and time-consuming, especially in cross-regional transactions where both parties may have to travel long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distances to complete the required paperwork. In addition, in a large, multi-tiered market like China, a substantial amount of used car transactions are cross-region transactions, necessitating cross-region transportation service that matches dealers’ shipping needs with qualified third-party freight capacities.</w:t>
      </w:r>
    </w:p>
    <w:p>
      <w:pPr>
        <w:spacing w:after="0" w:line="68" w:lineRule="exact"/>
        <w:rPr>
          <w:sz w:val="20"/>
          <w:szCs w:val="20"/>
          <w:color w:val="auto"/>
        </w:rPr>
      </w:pPr>
    </w:p>
    <w:p>
      <w:pPr>
        <w:jc w:val="both"/>
        <w:ind w:left="1100"/>
        <w:spacing w:after="0" w:line="282" w:lineRule="auto"/>
        <w:rPr>
          <w:sz w:val="20"/>
          <w:szCs w:val="20"/>
          <w:color w:val="auto"/>
        </w:rPr>
      </w:pPr>
      <w:r>
        <w:rPr>
          <w:rFonts w:ascii="Times New Roman" w:cs="Times New Roman" w:eastAsia="Times New Roman" w:hAnsi="Times New Roman"/>
          <w:sz w:val="18"/>
          <w:szCs w:val="18"/>
          <w:color w:val="auto"/>
        </w:rPr>
        <w:t>The TAM of the delivery services in China’s used car market reached RMB13.6 billion in 2022 and is expected to grow at CAGR of 4.3% to RMB16.8 billion in 2027, according to CIC.</w:t>
      </w:r>
    </w:p>
    <w:p>
      <w:pPr>
        <w:spacing w:after="0" w:line="308" w:lineRule="exact"/>
        <w:rPr>
          <w:sz w:val="20"/>
          <w:szCs w:val="20"/>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Financial Products Referral Services</w:t>
      </w:r>
    </w:p>
    <w:p>
      <w:pPr>
        <w:spacing w:after="0" w:line="119" w:lineRule="exact"/>
        <w:rPr>
          <w:rFonts w:ascii="Times New Roman" w:cs="Times New Roman" w:eastAsia="Times New Roman" w:hAnsi="Times New Roman"/>
          <w:sz w:val="18"/>
          <w:szCs w:val="18"/>
          <w:color w:val="auto"/>
        </w:rPr>
      </w:pPr>
    </w:p>
    <w:p>
      <w:pPr>
        <w:ind w:left="1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car financing is a rapidly growing market, giving rise to services that directly connect auto merchants and their customers to the end-consumers.</w:t>
      </w:r>
    </w:p>
    <w:p>
      <w:pPr>
        <w:spacing w:after="0" w:line="53" w:lineRule="exact"/>
        <w:rPr>
          <w:rFonts w:ascii="Times New Roman" w:cs="Times New Roman" w:eastAsia="Times New Roman" w:hAnsi="Times New Roman"/>
          <w:sz w:val="18"/>
          <w:szCs w:val="18"/>
          <w:color w:val="auto"/>
        </w:rPr>
      </w:pPr>
    </w:p>
    <w:p>
      <w:pPr>
        <w:ind w:left="1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TAM of the financial products referral services in China’s used car market reached RMB17.7 billion in 2022 and is expected to grow at CAGR of 23.4% to RMB50.8 billion in 2027, according to CIC.</w:t>
      </w:r>
    </w:p>
    <w:p>
      <w:pPr>
        <w:spacing w:after="0" w:line="30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Used Car Recondition Services</w:t>
      </w:r>
    </w:p>
    <w:p>
      <w:pPr>
        <w:spacing w:after="0" w:line="119" w:lineRule="exact"/>
        <w:rPr>
          <w:rFonts w:ascii="Times New Roman" w:cs="Times New Roman" w:eastAsia="Times New Roman" w:hAnsi="Times New Roman"/>
          <w:sz w:val="18"/>
          <w:szCs w:val="18"/>
          <w:i w:val="1"/>
          <w:iCs w:val="1"/>
          <w:color w:val="auto"/>
        </w:rPr>
      </w:pPr>
    </w:p>
    <w:p>
      <w:pPr>
        <w:jc w:val="both"/>
        <w:ind w:left="110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Used car recondition services refer to a range of processes and procedures that are performed on a pre-owned or used vehicle to improve its condition and appearance. These services are typically offered by automotive dealerships or specialized reconditioning companies. The TAM of used car recondition services in China’s used car market reached RMB41.8 billion in 2022 and is expected to grow at CAGR of 22.3% to RMB114.0 billion in 2027, according to CIC.</w:t>
      </w:r>
    </w:p>
    <w:p>
      <w:pPr>
        <w:spacing w:after="0" w:line="326" w:lineRule="exact"/>
        <w:rPr>
          <w:rFonts w:ascii="Times New Roman" w:cs="Times New Roman" w:eastAsia="Times New Roman" w:hAnsi="Times New Roman"/>
          <w:sz w:val="18"/>
          <w:szCs w:val="18"/>
          <w:i w:val="1"/>
          <w:iCs w:val="1"/>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Marketing Services</w:t>
      </w:r>
    </w:p>
    <w:p>
      <w:pPr>
        <w:spacing w:after="0" w:line="119" w:lineRule="exact"/>
        <w:rPr>
          <w:rFonts w:ascii="Times New Roman" w:cs="Times New Roman" w:eastAsia="Times New Roman" w:hAnsi="Times New Roman"/>
          <w:sz w:val="18"/>
          <w:szCs w:val="18"/>
          <w:color w:val="auto"/>
        </w:rPr>
      </w:pPr>
    </w:p>
    <w:p>
      <w:pPr>
        <w:jc w:val="both"/>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of digital marketing tools for used car dealers has experienced a rapid surge as an increasing number of used car dealers and consumers begin to leverage the Internet to research and buy used cars. By utilizing online channels, marketing services help used car dealers expand their reach to a broader audience, provide in-depth information regarding their inventory, and establish credibility among potential customers.</w:t>
      </w:r>
    </w:p>
    <w:p>
      <w:pPr>
        <w:spacing w:after="0" w:line="71" w:lineRule="exact"/>
        <w:rPr>
          <w:rFonts w:ascii="Times New Roman" w:cs="Times New Roman" w:eastAsia="Times New Roman" w:hAnsi="Times New Roman"/>
          <w:sz w:val="18"/>
          <w:szCs w:val="18"/>
          <w:color w:val="auto"/>
        </w:rPr>
      </w:pPr>
    </w:p>
    <w:p>
      <w:pPr>
        <w:ind w:left="1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TAM of marketing services in China’s used car market reached RMB40.0 billion in 2022 and is expected to grow at a CAGR of 27.3% to RMB133.6 billion in 2027, according to CIC.</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China’s used car service market has grown significantly in recent years. The TAM of China’s used car service market grew rapidly from RMB112.2 billion in 2018 to RMB177.6 billion in 2022, at a CAGR of 12.2%, and is expected to grow at a CAGR of 23.0% from 2022 to 2027, which is significantly higher than the growth rate of the used car sales market during the same period, according to CIC.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 below sets forth the size of China’s used car service market in terms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171450</wp:posOffset>
            </wp:positionV>
            <wp:extent cx="5168900" cy="2228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6890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CIC</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Challenges and Opportunities in China’s Used Car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Used car dealers in China have been faced with a range of major challenges, including:</w:t>
      </w:r>
    </w:p>
    <w:p>
      <w:pPr>
        <w:spacing w:after="0" w:line="129" w:lineRule="exact"/>
        <w:rPr>
          <w:sz w:val="20"/>
          <w:szCs w:val="20"/>
          <w:color w:val="auto"/>
        </w:rPr>
      </w:pPr>
    </w:p>
    <w:p>
      <w:pPr>
        <w:jc w:val="both"/>
        <w:ind w:left="1080" w:right="20" w:hanging="532"/>
        <w:spacing w:after="0" w:line="258"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Natural mismatch between supply and demand</w:t>
      </w:r>
      <w:r>
        <w:rPr>
          <w:rFonts w:ascii="Times New Roman" w:cs="Times New Roman" w:eastAsia="Times New Roman" w:hAnsi="Times New Roman"/>
          <w:sz w:val="18"/>
          <w:szCs w:val="18"/>
          <w:color w:val="auto"/>
        </w:rPr>
        <w:t>. Used car supply comes from individual consumers, and therefore is random and dispersed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nature. It has been a great challenge from many used car dealers to source inventory that match their sales opportunities. The lack of standardization and coordination among used car dealers makes it even more difficult for them to access a consistent and reliable supply of used cars. Used car dealers often have to rely on less efficient methods, such as word-of-mouth referrals from acquaintances to acquire used car sources.</w:t>
      </w:r>
    </w:p>
    <w:p>
      <w:pPr>
        <w:spacing w:after="0" w:line="88" w:lineRule="exact"/>
        <w:rPr>
          <w:rFonts w:ascii="Times New Roman" w:cs="Times New Roman" w:eastAsia="Times New Roman" w:hAnsi="Times New Roman"/>
          <w:sz w:val="18"/>
          <w:szCs w:val="18"/>
          <w:color w:val="auto"/>
        </w:rPr>
      </w:pPr>
    </w:p>
    <w:p>
      <w:pPr>
        <w:jc w:val="both"/>
        <w:ind w:left="1080" w:right="20" w:hanging="532"/>
        <w:spacing w:after="0" w:line="258"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Inefficient operations</w:t>
      </w:r>
      <w:r>
        <w:rPr>
          <w:rFonts w:ascii="Times New Roman" w:cs="Times New Roman" w:eastAsia="Times New Roman" w:hAnsi="Times New Roman"/>
          <w:sz w:val="18"/>
          <w:szCs w:val="18"/>
          <w:color w:val="auto"/>
        </w:rPr>
        <w:t>. Many used car dealers operate without the benefit of modern information technology. Key aspects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from inventory sourcing to inventory management, to leads generation and customer management, to internal administration and financial analysis, are nearly all offline with key operational information scattered, unconnected and unanalyzable. The disconnection between used car dealers’ lack of ability to digitalize individually and their need for means to improve efficiency has hindered the development of the used car industry in China.</w:t>
      </w:r>
    </w:p>
    <w:p>
      <w:pPr>
        <w:spacing w:after="0" w:line="88" w:lineRule="exact"/>
        <w:rPr>
          <w:rFonts w:ascii="Times New Roman" w:cs="Times New Roman" w:eastAsia="Times New Roman" w:hAnsi="Times New Roman"/>
          <w:sz w:val="18"/>
          <w:szCs w:val="18"/>
          <w:color w:val="auto"/>
        </w:rPr>
      </w:pPr>
    </w:p>
    <w:p>
      <w:pPr>
        <w:jc w:val="both"/>
        <w:ind w:left="1080" w:hanging="532"/>
        <w:spacing w:after="0" w:line="257"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Challenging collaborations</w:t>
      </w:r>
      <w:r>
        <w:rPr>
          <w:rFonts w:ascii="Times New Roman" w:cs="Times New Roman" w:eastAsia="Times New Roman" w:hAnsi="Times New Roman"/>
          <w:sz w:val="18"/>
          <w:szCs w:val="18"/>
          <w:color w:val="auto"/>
        </w:rPr>
        <w:t>. Used car sales is inherently a complex business, the success of which requires high levels of informational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coordination involving a diverse range of collaborators (i.e. providers of key services), both online and offline. Yet very few used car dealers in China have the scale or resources to effectively coordinate these collaborators. Large-scale collaborators, such as financial institutions, often lack the expertise and local presence to reach the small and geographically dispersed dealers effectively. On the other hand, numerous smaller collaborators, such as individual inspectors or transporters, are themselves small in scale, geographically dispersed, and offer little assurance of quality or reliability, adding implicit costs to used car dealers.</w:t>
      </w:r>
    </w:p>
    <w:p>
      <w:pPr>
        <w:spacing w:after="0" w:line="18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light of these challenges, used car dealers face the pressing need for advanced digital solutions and services that help reduce inefficiencies and enhance operations and profitability. Recognizing this need, companies like DSC have emerged to offer digital solutions specifically designed to digitalize and streamline used car dealers’ operations, facilitate their inventory sourcing and management efforts and effectively enable them to engage with a diverse array of collaborators.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China’s New Car market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 of China’s New Car Market</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China has been the world’s largest new car market since 2009 in terms of transaction volume, driven by its sustained economic growth and accelerated urbanization, according to CIC.</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chart below illustrates the total volume and value of new car sales in China for the periods indicated. The fluctuations between 2019 and 2020 were due to several factors, including the implementation of new emission standards, cancellation of subsidies for EV, and COVID-19 epidemic.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131445</wp:posOffset>
            </wp:positionV>
            <wp:extent cx="4200525" cy="18434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0052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CIC</w:t>
      </w:r>
    </w:p>
    <w:p>
      <w:pPr>
        <w:spacing w:after="0" w:line="22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total sales volume of EVs in China has increased drastically from 1.0 million units in 2018 to 6.5 million units in 2022 at a CAGR of 58.3% and is expected to further grow and reach 22.1 million units in 2027, according to CIC. Moreover, the sales volume of EVs as a percentage of total sales volume of new cars in China also increased from 4.3% in 2018 to 27.2% in 2022, according to CIC. The chart below shows the total sales volume of EVs both in absolute amount and as a percentage of total new car sales volume in China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203190" cy="1560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0319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CIC</w:t>
      </w:r>
    </w:p>
    <w:p>
      <w:pPr>
        <w:spacing w:after="0" w:line="22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rise of Chinese EV brands is spearheading a transformative shift away from the traditional new car sales model, which has long been centered around authorized dealers, towards a more direct-to-consumer (DTC) sales approach. With EVs, OEMs can have ongoing direct interactions with consumers as the vehicles themselves generate valuable data on the vehicle performance, while consumers actively download OEMs’ mobile applications to fully optimize their EVs’ functionalities. Under the DTC sales model, the role of OEMs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transitioning from being solely “auto manufacturers and wholesalers” to encompassing “auto manufacturers and retailers,” as consumers now have the option to purchase new cars directly from the OEMs.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With the DTC sales model, OEMs directly interact and transact with consumers, and are encouraged to explore new areas of operation, including leads conversion, order-driven manufacturing, car delivery, and after-sales services, all with a focus on engaging directly with customers. This streamlined approach not only allows OEMs to reduce sales costs but also enables them to set higher price points while fostering direct customer relationships. New car brokers, who facilitate sales between OEMs and consumers, will play a more important role under the DTC sales model, especially in lower-tier cities where the reach of OEMs and authorized dealers is often limited.</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With the rise of the DTC sales model, digital platforms and social media as marketing channels for new car sales are gaining traction rapidly. These digital marketing solutions also enable OEMs to gather and analyze leads generated from social media, effectively targeting potential customers with improved conversion rates.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As direct online car sales become increasingly prevalent in China, OEMs are seeking third-party providers of services, such as delivery, transportation, and warehousing services, to help them deliver the vehicles directly to individual end-consumers.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Key Participants and Key Services of China’s New Car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diagram below illustrates the key participants and commerce flow of new car market in China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171450</wp:posOffset>
            </wp:positionV>
            <wp:extent cx="4637405" cy="20231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63740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CIC</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Key Participants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participants in China’s new car market include OEMs, authorized dealers, and new car brokers.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OEMs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OEMs are the manufacturers of new cars and the first link on the value chain of new car sales.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the Chinese automotive market comprised a total of 137 OEMs, with 48.2% of them producing 10,000 units or more annually, according to CIC. This growing market has witnessed a surge in new entrants including EV brands in recent years, intensifying the competition among major Chinese OEMs.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2022, 80.3% of the OEMs operating in China are domestic brands, while 19.7% are international brands, according to CIC. The percentage of domestic brands has witnessed an increase from 68.8% in 2017, signaling a rise in the prominence of homegrown manufacturers. Furthermore, the number of EV brands has also seen significant growth, rising from 80 in 2018 to 129 in 2022. This includes 63 pure EV brands and 66 conventional ICE brands that have newly established EV production lines, according to CIC.</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Authorized Dealers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Authorized dealers are dealers that enter into franchise agreements with OEMs to facilitate the sale of new cars to consumers within specific markets.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Authorized dealers purchase cars from OEMs for sales to consumers, either directly or through contracted new car brokers located in lower-tier cities. A majority of authorized dealers operate in tier-1 and tier-2 cities at varying scales, ranging from single stores in specific cities to large chain stores spanning multiple provinces.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Historically, authorized dealers played a central role in new car market in China, accounting for a significant percentage of the country’s total new car sales. These dealerships are also instrumental to managing customer interactions and the overall brand experience for OEMs through providing aftermarket services and other customer support. However, the importance of authorized dealers has faced challenges with the ascent of the DTC sales model, as digital commerce allows OEMs to directly engage with end- consumers. Authorized dealers’ share in China’s total new car sales volume has declined from approximately 63.3% in 2018 to 57.8% in 2020 and 52.3% in 2022, according to CIC.</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New Car Brokers</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New car brokers are individuals and businesses engaging in new car sales to consumers, especially in lower tier cities. New car brokers typically do not have a formal relationship with OEMs and generally do not take inventory of new cars.</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New car brokers have a distinctive role within the Chinese automotive market, one that lacks a directly comparable counterpart in the U.S. or European markets. In lower-tier cities across China where the sales channels of OEMs and authorized dealers may not reach, new car brokers play a critical role in facilitating new car sales. Their deep understanding of local market conditions, including consumer preferences, purchasing habits and brand choices, positions them as key intermediaries in connecting car buyers and sellers.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New car brokers are generally SMEs, often consisting of the owner and a few employees, and rely on word-of-mouth referrals from acquaintances in their respective local markets to drive sales. However, in the age of digital marketing, many new car brokers have moved their sales leads generation efforts online and broadened their sales coverage.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OEMs transition to the DTC sales model, new car brokers have emerged as a crucial link within the automotive ecosystem as they facilitate OEMs’ direct interactions with consumers, particularly in lower-tier cities. As of December 31, 2022, there were over 100,000 new car brokers in China, and their contributions to the total new car sales volume in China has significantly increased from approximately 35.9% in 2018 to 40.2% in 2020 and 43.8% in 2022, according to CIC.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chart below shows the contributions of authorized dealers and new car brokers to China’s total new car sales volumes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9030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860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Source: CIC</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Key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services in China’s new car market include:</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Digitalization Solutions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Digitalization plays a crucial role in enabling new car auto merchants to enhance operational efficiency, drive sales, and maintain competitiveness in the market.</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New car auto merchants in China have achieved varied levels of digitalization, depending on their scales and business models. OEMs have the highest level of digitalization for their operations, given the complexity of their business models. OEMs are expected to continue to invest in upgrading their digital capabilities to adapt to evolving business needs and customer preferences. Authorized dealers, especially the larger ones, have also made significant progress in digitalization, benefiting from their close collaboration with OEMs and relatively strong financial strengths. In contrast, new car brokers have achieved a very limited level of digitalization, in part due to their individual scale and the lightweight nature of their business model.</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TAM of digitalization solutions in China’s new car market reached RMB63.3 billion in 2022 and is expected to grow at CAGR of 9.2% to RMB98.2 billion in 2027, according to CIC.</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Services</w:t>
      </w:r>
    </w:p>
    <w:p>
      <w:pPr>
        <w:spacing w:after="0" w:line="131" w:lineRule="exact"/>
        <w:rPr>
          <w:sz w:val="20"/>
          <w:szCs w:val="20"/>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Marketing Services</w:t>
      </w:r>
    </w:p>
    <w:p>
      <w:pPr>
        <w:spacing w:after="0" w:line="119" w:lineRule="exact"/>
        <w:rPr>
          <w:rFonts w:ascii="Times New Roman" w:cs="Times New Roman" w:eastAsia="Times New Roman" w:hAnsi="Times New Roman"/>
          <w:sz w:val="18"/>
          <w:szCs w:val="18"/>
          <w:color w:val="auto"/>
        </w:rPr>
      </w:pPr>
    </w:p>
    <w:p>
      <w:pPr>
        <w:jc w:val="both"/>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social media platforms and other digital marketing channels, marketing services allow auto merchants to target a large nationwide audience with captivating and innovative marketing tools, effectively acquiring, analyzing, and following up with leads. These services range from cultivating Internet influencers, creating short videos and TV shows to making video livestreaming advertisements.</w:t>
      </w:r>
    </w:p>
    <w:p>
      <w:pPr>
        <w:spacing w:after="0" w:line="175" w:lineRule="exact"/>
        <w:rPr>
          <w:rFonts w:ascii="Times New Roman" w:cs="Times New Roman" w:eastAsia="Times New Roman" w:hAnsi="Times New Roman"/>
          <w:sz w:val="18"/>
          <w:szCs w:val="18"/>
          <w:color w:val="auto"/>
        </w:rPr>
      </w:pPr>
    </w:p>
    <w:p>
      <w:pPr>
        <w:jc w:val="both"/>
        <w:ind w:left="11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some of these services can be provided by the in-house sales centers of OEMs, there is a growing inclination towards utilizing third-party service providers. With the DTC sales model gaining momentum, OEMs now directly engage in customer-facing interactions. As a strategic move, OEMs are embracing third-party service providers to enhance their marketing capabilities, allowing them to focus on their core priorities while reducing overall marketing expenditure.</w:t>
      </w:r>
    </w:p>
    <w:p>
      <w:pPr>
        <w:spacing w:after="0" w:line="180"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The TAM of marketing services in China’s new car market reached RMB260.3 billion in 2022 and is expected to grow a CAGR of 14.1% to RMB503.7 billion in 2027, according to CIC.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Delivery Services</w:t>
      </w:r>
    </w:p>
    <w:p>
      <w:pPr>
        <w:spacing w:after="0" w:line="119" w:lineRule="exact"/>
        <w:rPr>
          <w:rFonts w:ascii="Times New Roman" w:cs="Times New Roman" w:eastAsia="Times New Roman" w:hAnsi="Times New Roman"/>
          <w:sz w:val="18"/>
          <w:szCs w:val="18"/>
          <w:color w:val="auto"/>
        </w:rPr>
      </w:pPr>
    </w:p>
    <w:p>
      <w:pPr>
        <w:jc w:val="both"/>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services involve services provided throughout the entire car transportation process, including the shipment, storage, and delivery of vehicles from OEMs to the end-consumers. These delivery services are typically provided by dedicated logistics companies, catering to the diverse needs of auto merchants at different stages of new car commerce. The TAM of delivery services in China’s new car market reached RMB28.3 billion in 2022 and is expected to grow a CAGR of 17.8% to RMB64.1 billion in 2027, according to CIC.</w:t>
      </w:r>
    </w:p>
    <w:p>
      <w:pPr>
        <w:spacing w:after="0" w:line="3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New Car Ancillary Services</w:t>
      </w:r>
    </w:p>
    <w:p>
      <w:pPr>
        <w:spacing w:after="0" w:line="119" w:lineRule="exact"/>
        <w:rPr>
          <w:rFonts w:ascii="Times New Roman" w:cs="Times New Roman" w:eastAsia="Times New Roman" w:hAnsi="Times New Roman"/>
          <w:sz w:val="18"/>
          <w:szCs w:val="18"/>
          <w:i w:val="1"/>
          <w:iCs w:val="1"/>
          <w:color w:val="auto"/>
        </w:rPr>
      </w:pPr>
    </w:p>
    <w:p>
      <w:pPr>
        <w:jc w:val="both"/>
        <w:ind w:left="110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New car ancillary services refer to a set of procedures and treatments performed on a brand-new vehicle to enhance its appearance and protect it from potential wear and damage, such as, among others, vehicle wrap and window tinting. These services are typically offered by automotive dealerships, or specialized maintenance centers. The TAM of new car ancillary services in China’s new car market reached RMB116.0 billion in 2022 and is expected to grow at CAGR of 9.4% to RMB181.5 billion in 2027, according to CIC.</w:t>
      </w:r>
    </w:p>
    <w:p>
      <w:pPr>
        <w:spacing w:after="0" w:line="326" w:lineRule="exact"/>
        <w:rPr>
          <w:rFonts w:ascii="Times New Roman" w:cs="Times New Roman" w:eastAsia="Times New Roman" w:hAnsi="Times New Roman"/>
          <w:sz w:val="18"/>
          <w:szCs w:val="18"/>
          <w:i w:val="1"/>
          <w:iCs w:val="1"/>
          <w:color w:val="auto"/>
        </w:rPr>
      </w:pPr>
    </w:p>
    <w:p>
      <w:pPr>
        <w:ind w:left="1080" w:hanging="424"/>
        <w:spacing w:after="0"/>
        <w:tabs>
          <w:tab w:leader="none" w:pos="1080" w:val="left"/>
        </w:tabs>
        <w:numPr>
          <w:ilvl w:val="1"/>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Financial Products Referral Services</w:t>
      </w:r>
    </w:p>
    <w:p>
      <w:pPr>
        <w:spacing w:after="0" w:line="119" w:lineRule="exact"/>
        <w:rPr>
          <w:rFonts w:ascii="Times New Roman" w:cs="Times New Roman" w:eastAsia="Times New Roman" w:hAnsi="Times New Roman"/>
          <w:sz w:val="18"/>
          <w:szCs w:val="18"/>
          <w:i w:val="1"/>
          <w:iCs w:val="1"/>
          <w:color w:val="auto"/>
        </w:rPr>
      </w:pPr>
    </w:p>
    <w:p>
      <w:pPr>
        <w:jc w:val="both"/>
        <w:ind w:left="1100" w:right="2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With the emergence of the DTC sales model, the demand for financial products referral services is rapidly growing in China’s new car market. In addition to directly connecting auto merchants to the end consumers, these services allow consumers to complete key financing steps online, making financing an integral part of the car buying process.</w:t>
      </w:r>
    </w:p>
    <w:p>
      <w:pPr>
        <w:spacing w:after="0" w:line="175" w:lineRule="exact"/>
        <w:rPr>
          <w:rFonts w:ascii="Times New Roman" w:cs="Times New Roman" w:eastAsia="Times New Roman" w:hAnsi="Times New Roman"/>
          <w:sz w:val="18"/>
          <w:szCs w:val="18"/>
          <w:i w:val="1"/>
          <w:iCs w:val="1"/>
          <w:color w:val="auto"/>
        </w:rPr>
      </w:pPr>
    </w:p>
    <w:p>
      <w:pPr>
        <w:ind w:left="110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TAM of financial products referral services in China’s new car market reached RMB53.4 billion in 2022 and is expected to grow at a CAGR of 10.5% to RMB88.0 billion in 2027, according to CIC.</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Challenges and Opportunities in China’s New Car Market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changing market dynamics in China’s new car sector, particularly the rise of EV, have presented a mix of unique challenges and opportunities to new car merchants, experienced to varying degrees:</w:t>
      </w:r>
    </w:p>
    <w:p>
      <w:pPr>
        <w:spacing w:after="0" w:line="65" w:lineRule="exact"/>
        <w:rPr>
          <w:sz w:val="20"/>
          <w:szCs w:val="20"/>
          <w:color w:val="auto"/>
        </w:rPr>
      </w:pPr>
    </w:p>
    <w:p>
      <w:pPr>
        <w:jc w:val="both"/>
        <w:ind w:left="1080" w:right="20" w:hanging="532"/>
        <w:spacing w:after="0" w:line="261"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OEMs</w:t>
      </w:r>
      <w:r>
        <w:rPr>
          <w:rFonts w:ascii="Times New Roman" w:cs="Times New Roman" w:eastAsia="Times New Roman" w:hAnsi="Times New Roman"/>
          <w:sz w:val="18"/>
          <w:szCs w:val="18"/>
          <w:color w:val="auto"/>
        </w:rPr>
        <w:t>. OEMs are increasingly seeking digitalization solutions to help them manage the full spectrum of their interaction with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lead conversion, order-driven manufacturing, car delivery, and after-sales services, all with a focus on direct customer engagement—an emerging battleground for most OEMs. Providers of competitive digitalization services have a unique advantage in establishing long-term relationships with OEMs and securing a share of wallet in the OEMs’ investments in these new endeavors.</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57"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Authorized dealers</w:t>
      </w:r>
      <w:r>
        <w:rPr>
          <w:rFonts w:ascii="Times New Roman" w:cs="Times New Roman" w:eastAsia="Times New Roman" w:hAnsi="Times New Roman"/>
          <w:sz w:val="18"/>
          <w:szCs w:val="18"/>
          <w:color w:val="auto"/>
        </w:rPr>
        <w:t>. The advent of the DTC sales model and the emergence of new car brokers have presented significant challenges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dealers. OEMs now have the capability to engage directly with end-consumers, which has impacted the traditional dealership’s role as an intermediary. Additionally, with the growing popularity of EVs, the once-crucial roles played by authorized dealers in providing after-sales services is facing challenges as EVs require significantly fewer maintenance services compared to conventional ICE vehicles. To remain competitive in this evolving landscape, authorized dealers must proactively reposition themselves through business model innovations.</w:t>
      </w:r>
    </w:p>
    <w:p>
      <w:pPr>
        <w:spacing w:after="0" w:line="87" w:lineRule="exact"/>
        <w:rPr>
          <w:rFonts w:ascii="Times New Roman" w:cs="Times New Roman" w:eastAsia="Times New Roman" w:hAnsi="Times New Roman"/>
          <w:sz w:val="18"/>
          <w:szCs w:val="18"/>
          <w:color w:val="auto"/>
        </w:rPr>
      </w:pPr>
    </w:p>
    <w:p>
      <w:pPr>
        <w:jc w:val="both"/>
        <w:ind w:left="1080" w:right="20" w:hanging="532"/>
        <w:spacing w:after="0" w:line="258"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New Car Brokers</w:t>
      </w:r>
      <w:r>
        <w:rPr>
          <w:rFonts w:ascii="Times New Roman" w:cs="Times New Roman" w:eastAsia="Times New Roman" w:hAnsi="Times New Roman"/>
          <w:sz w:val="18"/>
          <w:szCs w:val="18"/>
          <w:color w:val="auto"/>
        </w:rPr>
        <w:t>. Amid the increasing popularity of the DTC sales model, new car brokers are increasingly collaborating with OEMs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authorized dealers) who consider new car brokers as an important sales channel that helps them engage with consumers, especially in lower-tier cities that are otherwise difficult or too costly to reach. This emergence of new car brokers has opened up opportunities for OEMs to expand their market reach and tap into previously untapped customer segments. On the other hand, to remain competitive and secure their position as essential partners in the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OEMs’ DTC strategies, new car brokers must actively pursue venues to forge strong relationships with OEMs. By aligning their offerings with the OEMs’ objectives and adapting to the evolving market demands, new car brokers can establish themselves as integral players in the automotive distribution ecosystem.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China’s used car and new car markets, transaction services and digitalization solutions are mainly provided by a myriad of small-scale, unconnected providers offering individual services and digital platforms lacking integrated service capacities. DSC stands out as the sole provider offering a comprehensive suite of integrated digitalization solutions and transaction services to auto merchants in China.</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Positions in the Used Car Sector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used car service market in China is highly competitive, yet we have managed to distinguish ourselves as the market leader.</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2022, our digitalization solutions covered the largest number of used car dealers in China, giving us a market share of over 90%, according to CIC. We are also China’s largest B2B online used car auction platforms in terms of transaction volume in 2022, according to the same source. Furthermore, we are the largest used car inspection service provider in China in terms of used car inspection volume in 2022, according to CIC.</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Positions in the New Car Sector</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new car service market in China is highly competitive, but we have achieved a leading position for a number of transaction services and digitalization solutions for new car auto merchants. As of the end of 2022, our digitalization solutions covered the largest number of new car brokers in China, giving us over 90% market share, according to CIC. In terms of digitalization solutions for new car auto merchants, we ranked the second among all digitalization solutions providers in China, as measured by revenue, in 2022, according to the same source. We believe we are a clear leader in China in developing and promoting customer-centric digitalization solutions for used car dealers, new car brokers, and OEMs.</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terms of transaction services, we ranked the first among all single car delivery service providers in China, as measured by revenue, in 2022, according to CIC.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Mission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mission is to transform auto commerce through digitalization and integrated transaction services.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dedicated to continuously bringing auto merchants’ business activities from offline to online, from isolated to connected, and thereby optimizing resource allocation and achieving transformative enhancement for the industry.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Who We Are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the leading auto commerce enabler in China. We have achieved a market share of over 90% in operating systems among both used car dealers and new car brokers in China in 2022, according to CIC. We empower and enable auto merchants through digitalization solutions and transaction services that digitalize, integrate and optimize key aspects of their operations.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auto merchants we serve include used car dealers, OEMs, authorized dealers, and new car brokers. Our transaction services also involve and benefit thousands of collaborators to auto merchants, such as inspectors, transporters, financial institutions and so 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executed a clear and focused growth strategy laid out by our founders in 2013:</w:t>
      </w:r>
    </w:p>
    <w:p>
      <w:pPr>
        <w:spacing w:after="0" w:line="131" w:lineRule="exact"/>
        <w:rPr>
          <w:sz w:val="20"/>
          <w:szCs w:val="20"/>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streamline auto merchants’ day-to-day operations through digitalization solutions to significantly reduce inefficiencies;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leveraging this foundation of digitalized operating environment, we offer numerous transaction services to further address their business needs and enhance their efficiency and profitability.</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integration of digitalization solutions and transaction services creates a uniquely strong connection between us and auto merchants, helping us achieve some significant milestones in the past, and will likely continue to propel our growth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5983605" cy="19634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8360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Notes:   1. In terms of number of users in 2022, according to CIC</w:t>
      </w:r>
    </w:p>
    <w:p>
      <w:pPr>
        <w:spacing w:after="0" w:line="27" w:lineRule="exact"/>
        <w:rPr>
          <w:sz w:val="20"/>
          <w:szCs w:val="20"/>
          <w:color w:val="auto"/>
        </w:rPr>
      </w:pPr>
    </w:p>
    <w:p>
      <w:pPr>
        <w:ind w:left="1420" w:hanging="237"/>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given time in 2022, according to CIC</w:t>
      </w:r>
    </w:p>
    <w:p>
      <w:pPr>
        <w:spacing w:after="0" w:line="9" w:lineRule="exact"/>
        <w:rPr>
          <w:rFonts w:ascii="Times New Roman" w:cs="Times New Roman" w:eastAsia="Times New Roman" w:hAnsi="Times New Roman"/>
          <w:sz w:val="18"/>
          <w:szCs w:val="18"/>
          <w:color w:val="auto"/>
        </w:rPr>
      </w:pPr>
    </w:p>
    <w:p>
      <w:pPr>
        <w:ind w:left="1420" w:hanging="237"/>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used car inspection volume in 2022, according to CIC</w:t>
      </w:r>
    </w:p>
    <w:p>
      <w:pPr>
        <w:spacing w:after="0" w:line="9" w:lineRule="exact"/>
        <w:rPr>
          <w:rFonts w:ascii="Times New Roman" w:cs="Times New Roman" w:eastAsia="Times New Roman" w:hAnsi="Times New Roman"/>
          <w:sz w:val="18"/>
          <w:szCs w:val="18"/>
          <w:color w:val="auto"/>
        </w:rPr>
      </w:pPr>
    </w:p>
    <w:p>
      <w:pPr>
        <w:ind w:left="1420" w:hanging="237"/>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online transaction volume in 2022, according to CIC</w:t>
      </w:r>
    </w:p>
    <w:p>
      <w:pPr>
        <w:spacing w:after="0" w:line="9" w:lineRule="exact"/>
        <w:rPr>
          <w:rFonts w:ascii="Times New Roman" w:cs="Times New Roman" w:eastAsia="Times New Roman" w:hAnsi="Times New Roman"/>
          <w:sz w:val="18"/>
          <w:szCs w:val="18"/>
          <w:color w:val="auto"/>
        </w:rPr>
      </w:pPr>
    </w:p>
    <w:p>
      <w:pPr>
        <w:ind w:left="1420" w:hanging="237"/>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single car deliveries made in 2022, according to CIC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Unique Synergy and Flywheel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unwavering focus on auto merchants’ success underpins everything we do and led us to becoming mission critical for them. Today,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DaSouChe </w:t>
      </w:r>
      <w:r>
        <w:rPr>
          <w:rFonts w:ascii="Times New Roman" w:cs="Times New Roman" w:eastAsia="Times New Roman" w:hAnsi="Times New Roman"/>
          <w:sz w:val="18"/>
          <w:szCs w:val="18"/>
          <w:color w:val="auto"/>
        </w:rPr>
        <w:t>platform can be illustrated by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160020</wp:posOffset>
            </wp:positionV>
            <wp:extent cx="5014595" cy="21685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145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Our digitalization solutions act as a magnet to attract and retain a highly active auto merchant base. In the used car space especially, we are the operating system most used car dealers in China rely on for everyday operations, according to CIC, which makes us an integral part of their business and opens up abundant opportunities for our integrated transaction services. Leveraging the superb merchant connection and invaluable data insight from our digitalization solutions, we provide auto merchants with transaction services with easier access and higher quality, both of which boost their profitability.</w:t>
      </w:r>
    </w:p>
    <w:p>
      <w:pPr>
        <w:spacing w:after="0" w:line="16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synergistic relationship between our two service offerings, namely, digitalization solutions and transaction services, enables us to offer unparalleled value proposition to auto merchants and their collaborators, strengthens our relationship with our customers and solidifies our market standing.</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had 87,876 and 124,902 “active users,” respectively, in 2021 and 2022. “Active users” for a given year are calculated by the numbers of used car dealers who accessed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at least once during that year. In 2021 and 2022, approximately 28.7% and 55.3%, respectively, of the “active users” have used our transaction services at least once during the respective years. We believe we are still at an early stage of monetizing on transaction services, and we expect the penetration rate of our transaction services among our digitalization user base to continue to grow significantly.</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large number of collaborators to auto merchants, including over 3,000 inspectors, over 3,900 logistics companies and over 80 financial institutions as of June 30, 2023, were also active on the digital infrastructure we have built. Together, they contribute to a thriving ecosystem where tens of thousands of auto merchants interact and collaborate amongst themselves and with third-party service providers with our technological and transactional support.</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Over the years, we have created a strong network with these ecosystem participants. In the used car space, in addition to having over 50% of China’s used car dealers as MAUs of our digitalization solutions according to CIC, we fostered their inter-dependence and became their business network, making it highly costly and unlikely for them to switch to competing services. For example, our platform houses over 8,000 self-organized “dealer alliances” as of June 30, 2023, a type of “professional friends’ group”, where dealers trust each other to share inventories in return for part of the proceeds. We believe that our large market share, coupled with the strong relationship our ecosystem participants built a substantial moat for 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strong testament to the deep relationship that we have built with auto merchants, 55 out of the top 100 used car dealers in China (based on information published by China Automobile Dealers Association) have used our services for more than five years, and 80 out of such used car dealers have used our services for more than two years, as of June 30, 2023. In addition, the ARPU of our monetized dealers and brokers increased from RMB8,967 in 2021 to RMB10,276 in 2022, based on total revenues of RMB142.8 million and RMB234.2 million, respectively, generated from the transactions with such dealers and brokers in 2021 and 2022. The ARPU of our monetized dealers and brokers increased from RMB6,335 for the six months ended June 30, 2022 to RMB10,482 for the same period of 2023, based on total revenues of RMB89.0 million and RMB183.7 million, respectively, generated from the transactions with such dealers and brokers for the same periods. The amounts of revenues used to calculate ARPU exclude revenues from delivery services, customer engagement solutions, and marketing and sales services which we provide predominantly to OEMs.</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Technology and data play a critical role in our success. As we assist auto merchants in digitalizing their operations, our platform became a rich repository of data on vehicles, auto merchants and auto transactions that were otherwise unavailable. For example, our platform manages over 50% of used car inventory in China at any given time as well as real-time, wholesale prices for over 90% of China’s new car models for sale, according to CIC.</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data wealth allows us to analyze market trends on a granular level, such as for a particular make and model of used car in a particular region. It also allows us to understand auto merchants on a highly individualized basis and offer transaction services to them that best suit their needs. We convert such data insights into effective commercial tools, empowering auto merchants to succeed in ways previously unknown to them. We utilize data analytics on vehicles and merchant activities to fuel iterations of intelligent solutions continually. Our data-driven industry intelligence significantly enhances our platform capability, making it indispensable to auto merchants.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Through years of ecosystem development, we have gained tremendous industry know-how and invaluable insight, which are being deepened everyday as more auto merchants utilize our digitalization solutions for deeper aspects of their operations and use our growing number of transaction services for more of their transactions. We believe we have built a business model with an intrinsic flywheel effect that continuously enhances our competitive advantage and drives our future growth.</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financial performance. We generate revenue primarily from transaction services and to a lesser extent, digitalization solutions. Our total revenues were RMB387.5 million and RMB565.0 million (US$77.9 million) in 2021 and 2022, respectively, representing a year-on-year growth of 45.8%. Our total revenues were RMB208.7 million and RMB353.6 million (US$48.8 million) for the six months ended June 30, 2022 and 2023, respectively, representing a period-to-period growth of 69.4%. As we continue to invest in technology and growth, we recorded net loss of RMB445.3 million and RMB390.9 million (US$53.9 million) in 2021 and 2022, respectively. We recorded net loss of RMB260.2 million and RMB113.7 million (US$15.7 million) for the six months ended June 30, 2022 and 2023, respectively, representing a decrease in net loss by 56.3%. We recorded adjusted net loss of RMB409.5 million, RMB361.4 million (US$49.8 million), RMB245.3 million and RMB99.3 million (US$13.7 million) in 2021 and 2022 and for the six months ended June 30, 2022 and 2023, respectively. For a reconciliation of adjusted net loss to net loss, see “Management’s Discussion and Analysis of Financial Condition and Results of Operations—Non-GAAP Financial Measure.”</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Where We Operate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of our operations are in China, the world’s largest automotive market with a total car parc of 273.6 million in 2022, according to CIC. Despite its massive scale, China’s car parc is expected to continue to grow at a CAGR of 6.4% to 373.8 million in 2027, due to the low level of car ownership relative to its population, according to the same source.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impressive growth in China’s used car market is fundamentally driven by the country’s large and fast-growing car parc, coupled with its ripening car parc age and favorable government policies. The transaction volume of used car in China is expected to grow from 12.5 million in 2022 to 24.7 million in 2027 at a CAGR of 14.5%, and used car sales as a percentage of total car sales is expected to grow from 34.3% to 43.9% over the same period, according to CIC.</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for new car, China has been the world’s largest new car market since 2009 in terms of sales volume, according to CIC, thanks to its sustained economic growth and accelerated urbanization. China’s new car sales volume reached 24.0 million in 2022 and is expected to further increase to 31.5 million in 2027, representing a CAGR of 5.6% from 2022 to 2027, according to CIC.</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China’s new car market has seen a tremendous rise of EVs, which is driving a transformative shift in new car sales away from the traditional dealer-centric model towards a direct-to-consumers, or DTC, approach. The DTC sales model requires OEMs to venture into new areas, including leads conversion, order-driven manufacturing, car delivery, and after-sales services, all with a focus on engaging directly with customers.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the key participants and transaction flows within each of the used car and new car markets. The areas bordered with dotted lines represent the participants and the transaction flows we currently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214745" cy="23406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14745" cy="234061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percentage figures alongside the arrows represent the approximate contribution by the corresponding channel to the total transaction volume.</w:t>
      </w:r>
    </w:p>
    <w:p>
      <w:pPr>
        <w:spacing w:after="0" w:line="162" w:lineRule="exact"/>
        <w:rPr>
          <w:sz w:val="20"/>
          <w:szCs w:val="20"/>
          <w:color w:val="auto"/>
        </w:rPr>
      </w:pPr>
    </w:p>
    <w:p>
      <w:pPr>
        <w:sectPr>
          <w:pgSz w:w="11900" w:h="16838" w:orient="portrait"/>
          <w:cols w:equalWidth="0" w:num="2">
            <w:col w:w="520" w:space="360"/>
            <w:col w:w="10260"/>
          </w:cols>
          <w:pgMar w:left="320" w:top="455" w:right="439" w:bottom="1440" w:gutter="0" w:footer="0" w:header="0"/>
          <w:type w:val="continuous"/>
        </w:sect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used car space, auto merchants include (i) used car dealers and (ii) the used car division of authorized dealers. They account for approximately 45% and 35%, respectively, of the used cars sourced from consumers, and account for 80% and 10%, respectively, of China’s used car sales to consumers in 2022, according to CIC. Authorized dealers sell a substantial portion of their used cars (representing 25% of the total number of used cars sourced from consumers) to used car dealers, according to CIC.</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new car space, key participants mainly include OEMs, authorized dealers, and new car brokers. Authorized dealers and new car brokers represent approximately 52% and 44%, respectively, of total new car sales to consumers in 2022, according to CIC. Authorized dealers are facing challenges from the OEMs’ adoption of the DTC sales model, with new car brokers facilitating more direct sales from OEMs to consumers, especially in lower-tier cities.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Auto merchants in China’s used car and new car markets face several critical challenges.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For used car dealers and new car brokers:</w:t>
      </w:r>
    </w:p>
    <w:p>
      <w:pPr>
        <w:spacing w:after="0" w:line="127" w:lineRule="exact"/>
        <w:rPr>
          <w:sz w:val="20"/>
          <w:szCs w:val="20"/>
          <w:color w:val="auto"/>
        </w:rPr>
      </w:pPr>
    </w:p>
    <w:p>
      <w:pPr>
        <w:jc w:val="both"/>
        <w:ind w:left="1080" w:right="20" w:hanging="532"/>
        <w:spacing w:after="0" w:line="268"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Large number, small scale and geographically dispersed</w:t>
      </w:r>
      <w:r>
        <w:rPr>
          <w:rFonts w:ascii="Times New Roman" w:cs="Times New Roman" w:eastAsia="Times New Roman" w:hAnsi="Times New Roman"/>
          <w:sz w:val="18"/>
          <w:szCs w:val="18"/>
          <w:color w:val="auto"/>
        </w:rPr>
        <w:t>. Used car dealers and new car brokers in China are both a large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dispersed businesses that are small in scale, resulting in a deep mismatch between demand and supply of used cars, their difficulty in maintaining credibility, and their lack of capabilities and resources needed to handle complex car transactions.</w:t>
      </w:r>
    </w:p>
    <w:p>
      <w:pPr>
        <w:spacing w:after="0" w:line="76" w:lineRule="exact"/>
        <w:rPr>
          <w:rFonts w:ascii="Times New Roman" w:cs="Times New Roman" w:eastAsia="Times New Roman" w:hAnsi="Times New Roman"/>
          <w:sz w:val="18"/>
          <w:szCs w:val="18"/>
          <w:color w:val="auto"/>
        </w:rPr>
      </w:pPr>
    </w:p>
    <w:p>
      <w:pPr>
        <w:jc w:val="both"/>
        <w:ind w:left="1080" w:hanging="532"/>
        <w:spacing w:after="0" w:line="259"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Complex nature of car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 transactions are inherently complex businesses that require a high degree of informational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coordination among various collaborators, both online and offline. However, very few used car dealers in China have the scale or resources to effectively coordinate with these collaborators. Many collaborators, such as individual inspectors or transporters, are themselves small in scale, geographically dispersed, and offer little assurance of quality or reliability, adding implicit costs to used car dealers.</w:t>
      </w:r>
    </w:p>
    <w:p>
      <w:pPr>
        <w:spacing w:after="0" w:line="84"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Low credibility</w:t>
      </w:r>
      <w:r>
        <w:rPr>
          <w:rFonts w:ascii="Times New Roman" w:cs="Times New Roman" w:eastAsia="Times New Roman" w:hAnsi="Times New Roman"/>
          <w:sz w:val="18"/>
          <w:szCs w:val="18"/>
          <w:color w:val="auto"/>
        </w:rPr>
        <w:t>. Due to their limited scale and marketing resources, most used car dealers and new car brokers face challenges 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limited credibility, resulting in low conversion rates.</w:t>
      </w:r>
    </w:p>
    <w:p>
      <w:pPr>
        <w:spacing w:after="0" w:line="60" w:lineRule="exact"/>
        <w:rPr>
          <w:rFonts w:ascii="Times New Roman" w:cs="Times New Roman" w:eastAsia="Times New Roman" w:hAnsi="Times New Roman"/>
          <w:sz w:val="18"/>
          <w:szCs w:val="18"/>
          <w:color w:val="auto"/>
        </w:rPr>
      </w:pPr>
    </w:p>
    <w:p>
      <w:pPr>
        <w:jc w:val="both"/>
        <w:ind w:left="1080" w:right="20" w:hanging="532"/>
        <w:spacing w:after="0" w:line="268"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Lack of digitalization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used car dealers operate without the benefit of modern information technology. Key aspects of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from inventory sourcing to inventory management, to leads generation and customer management, to internal administration and financial analysis, are nearly all offline with key operational information scattered, unconnected and unanalyzable.</w:t>
      </w:r>
    </w:p>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For OEMs:</w:t>
      </w:r>
    </w:p>
    <w:p>
      <w:pPr>
        <w:spacing w:after="0" w:line="127" w:lineRule="exact"/>
        <w:rPr>
          <w:sz w:val="20"/>
          <w:szCs w:val="20"/>
          <w:color w:val="auto"/>
        </w:rPr>
      </w:pPr>
    </w:p>
    <w:p>
      <w:pPr>
        <w:jc w:val="both"/>
        <w:ind w:left="1080" w:right="20" w:hanging="532"/>
        <w:spacing w:after="0" w:line="26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Intensified competition and pressing need to adopt the DTC sales model. </w:t>
      </w:r>
      <w:r>
        <w:rPr>
          <w:rFonts w:ascii="Times New Roman" w:cs="Times New Roman" w:eastAsia="Times New Roman" w:hAnsi="Times New Roman"/>
          <w:sz w:val="18"/>
          <w:szCs w:val="18"/>
          <w:color w:val="auto"/>
        </w:rPr>
        <w:t>With intensified competition, OEMs are faced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pressing need to establish more customer touchpoints and extensive network to reach broader consumer audiences than ever before. They must also enhance their user community operations to adapt to the DTC sales model and foster stronger direct connections with consumers.</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8"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Difficulties in reaching audiences in lower-cities. </w:t>
      </w:r>
      <w:r>
        <w:rPr>
          <w:rFonts w:ascii="Times New Roman" w:cs="Times New Roman" w:eastAsia="Times New Roman" w:hAnsi="Times New Roman"/>
          <w:sz w:val="18"/>
          <w:szCs w:val="18"/>
          <w:color w:val="auto"/>
        </w:rPr>
        <w:t>OEMs encounter difficulties in connecting sales channels in lower-tier cities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lack of direct customer-facing capabilities in these regions presents challenges for OEMs. This requires OEMs to find more adaptive, cost-efficient, and agile solutions than simply relying on authorized dealers or self-operated stores.</w:t>
      </w:r>
    </w:p>
    <w:p>
      <w:pPr>
        <w:spacing w:after="0" w:line="17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backdrop of such a vast, evolving, and intensely competitive automotive market, we believe that our strategic position as the digital infrastructure and enabler committed to helping auto merchants overcome their challenges, rather than as one of the auto merchants, serves us well in reaping the benefits of the uptrend of China’s auto commerce industry and the fierce competition therein.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Service Offerings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built our service offering profile under the strategy of “first digitalize, then service,” with the unwavering goal of helping auto merchants increase efficiency, lower costs, and enhance profitability.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Digitalization solutions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pioneer in China for mobile-based software tools and systems for auto merchants, we have provided the industry with what was historically unavailable and transformed tens of thousands of dealers’ inefficient manual processes with digitalized and integrated solutions.</w:t>
      </w:r>
    </w:p>
    <w:p>
      <w:pPr>
        <w:spacing w:after="0" w:line="65" w:lineRule="exact"/>
        <w:rPr>
          <w:sz w:val="20"/>
          <w:szCs w:val="20"/>
          <w:color w:val="auto"/>
        </w:rPr>
      </w:pPr>
    </w:p>
    <w:p>
      <w:pPr>
        <w:ind w:left="1080" w:right="20" w:hanging="532"/>
        <w:spacing w:after="0" w:line="284"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used car space, we provide cloud-based, modulized digitalization solutions to used car dealers.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our flagship digitalization solution for used car dealers, laid the foundation for our competitive advantage and sustained service offering expansion.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100"/>
        <w:spacing w:after="0" w:line="258" w:lineRule="auto"/>
        <w:rPr>
          <w:sz w:val="20"/>
          <w:szCs w:val="20"/>
          <w:color w:val="auto"/>
        </w:rPr>
      </w:pPr>
      <w:r>
        <w:rPr>
          <w:rFonts w:ascii="Times New Roman" w:cs="Times New Roman" w:eastAsia="Times New Roman" w:hAnsi="Times New Roman"/>
          <w:sz w:val="18"/>
          <w:szCs w:val="18"/>
          <w:color w:val="auto"/>
        </w:rPr>
        <w:t xml:space="preserve">At the very beginning,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carried the mission of digitalizing used car dealers’ day-to-day operations, starting with inventory management and CRM. Since 2013, it gradually grew from a small enterprise resource planning, or ERP, application to an all-encompassing digital ally for used car dealers, covering all aspects of used car dealers’ operations, including inventory sourcing and management, marketing, sales, and business analysis and internal administration, and very importantly, easy access to various essential transaction services.</w:t>
      </w:r>
    </w:p>
    <w:p>
      <w:pPr>
        <w:spacing w:after="0" w:line="91" w:lineRule="exact"/>
        <w:rPr>
          <w:sz w:val="20"/>
          <w:szCs w:val="20"/>
          <w:color w:val="auto"/>
        </w:rPr>
      </w:pPr>
    </w:p>
    <w:p>
      <w:pPr>
        <w:jc w:val="both"/>
        <w:ind w:left="1080" w:right="20" w:hanging="532"/>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new car space, we build for OEMs their customer engagement systems and applications, including storefront management systems, customer-facing mobile applications and mini-programs. We offer new car brokers an integrated operating system and listing platform that address both their daily management and inventory sourcing needs.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By bringing auto merchants’ operational steps and information from offline to online, we simplified many of their work processes, and made their business data traceable, analyzable, shareable, and of critical importance, useful to making business decisions.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inherent benefits of digitalization, the invaluable industry insights we attain from our prevalent market penetration enable us to offer auto merchants unique extra value, such as industry best practices, data-driven market intelligence, dealer-to-dealer collaboration opportunities, and strategic planning support, through our digitalization solutions.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To many of the auto merchants, especially used car dealers and new car brokers which are mostly SMEs, the digitalization solutions were transformative tools that greatly improved their operating efficiency, brought them higher profit, and resulted in greater competitiveness.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Transaction services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Auto merchants inherently need a variety of transaction services to achieve their business goals. A large number of small and dispersed service providers are active in China’s auto commerce. Leveraging the digital operating environment that we have created for auto merchants, we offer them and their collaborators numerous transaction services that are easier to access and in higher quality.</w:t>
      </w:r>
    </w:p>
    <w:p>
      <w:pPr>
        <w:spacing w:after="0" w:line="81" w:lineRule="exact"/>
        <w:rPr>
          <w:sz w:val="20"/>
          <w:szCs w:val="20"/>
          <w:color w:val="auto"/>
        </w:rPr>
      </w:pPr>
    </w:p>
    <w:p>
      <w:pPr>
        <w:ind w:left="108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used car dealers, our transaction services primarily include B2B transaction facilitation, used car inspection and certification, financial products referral and delivery services.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new car space, our transaction services primarily include delivery, marketing and sales services, both focusing on assisting OEMs in directly engaging with end consumers.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By integrating transaction services with digitalization solutions, our platform evolved into a convenient all-in-one hub that offers high-quality services with consistency and reliability to auto merchants and their collaborators.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competitive strengths contribute to our success and differentiate us from our competitors:</w:t>
      </w:r>
    </w:p>
    <w:p>
      <w:pPr>
        <w:spacing w:after="0" w:line="329" w:lineRule="exact"/>
        <w:rPr>
          <w:sz w:val="20"/>
          <w:szCs w:val="20"/>
          <w:color w:val="auto"/>
        </w:rPr>
      </w:pPr>
    </w:p>
    <w:p>
      <w:pPr>
        <w:ind w:left="560" w:right="4120"/>
        <w:spacing w:after="0" w:line="38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Leading Auto Commerce Enabler in China with Significant Incumbent Advantage </w:t>
      </w:r>
      <w:r>
        <w:rPr>
          <w:rFonts w:ascii="Times New Roman" w:cs="Times New Roman" w:eastAsia="Times New Roman" w:hAnsi="Times New Roman"/>
          <w:sz w:val="18"/>
          <w:szCs w:val="18"/>
          <w:color w:val="auto"/>
        </w:rPr>
        <w:t>We have unrivaled stature in China’s auto commerce industry.</w:t>
      </w:r>
    </w:p>
    <w:p>
      <w:pPr>
        <w:spacing w:after="0" w:line="1" w:lineRule="exact"/>
        <w:rPr>
          <w:sz w:val="20"/>
          <w:szCs w:val="20"/>
          <w:color w:val="auto"/>
        </w:rPr>
      </w:pPr>
    </w:p>
    <w:p>
      <w:pPr>
        <w:jc w:val="both"/>
        <w:ind w:left="1080" w:right="20" w:hanging="532"/>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used car sector, we have achieved a market share of 90% in operating systems for China’s used car dealers, according to CIC. Our platform manages over 50% of used car inventory in China at any given time, and over RMB1.1 billion worth of used car transaction value per day, according to CIC.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For transaction services, our newly launched used car inspection and certification service, as well as our used car auction platform, were both No.1 in terms of volume in their respective segment in China in 2022, according to CIC.</w:t>
      </w:r>
    </w:p>
    <w:p>
      <w:pPr>
        <w:spacing w:after="0" w:line="67" w:lineRule="exact"/>
        <w:rPr>
          <w:sz w:val="20"/>
          <w:szCs w:val="20"/>
          <w:color w:val="auto"/>
        </w:rPr>
      </w:pPr>
    </w:p>
    <w:p>
      <w:pPr>
        <w:jc w:val="both"/>
        <w:ind w:left="1080" w:right="20" w:hanging="532"/>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new car sector, we count 69 OEMs in China as customers to our digitization solutions and transaction services, including all of the top ten OEMs in terms of sales volume, according to CIC. We also have a market share of 90% in operating systems for China’s new car brokers, and we provide real-time, wholesale prices for over 90% of the new car models for sale in China, according to CIC.</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strong presence among auto merchants, we have built deep relationships with other industry participants, forming a thriving and highly inter-dependent ecosystem that further strengthens our market leadership. For instance, over 3,000 inspectors have been retained and trained by us, and over 3,900 logistics companies with 32,527 car-shipping trucks nationwide work with our transportation platform to meet OEMs’ and dealers’ car shipping needs.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believe that we have built a strong moat for our business and it would be extremely difficult for a challenger to replace us or replicate our model.</w:t>
      </w:r>
    </w:p>
    <w:p>
      <w:pPr>
        <w:spacing w:after="0" w:line="67" w:lineRule="exact"/>
        <w:rPr>
          <w:sz w:val="20"/>
          <w:szCs w:val="20"/>
          <w:color w:val="auto"/>
        </w:rPr>
      </w:pPr>
    </w:p>
    <w:p>
      <w:pPr>
        <w:ind w:left="1080" w:right="2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created the digital operating environment for China’s used car dealers, which encompasses all aspects of their operations and is growing more powerful as we continue to layer on integrated, high quality transaction services.</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highly challenging and costly for dealers to switch their operating systems, as it would require their entire work force to retune all aspects of their operations, as well as repeat a great deal of work already done in the incumbent system. Any challenger must provide a significantly superior system to justify such a costly and burdensome move, which is highly unlikely to occur as we, the incumbent, are continuously upgrading and improving our offerings with timely feedback from the widest user base in the industry.</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essential transaction services we have integrated into our operating system make it even harder for dealers to switch. As we increase the penetration and scale of our transaction services, we expect to further reduce their individual costs and make them more attractive to used car dealers, which further fortifies our leadership position.</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years of ecosystem development, we have accumulated tremendous industry know-how and invaluable insights, which are being deepened everyday as more auto merchants utilize our digitalization solutions for deeper aspects of their operations and our transaction services to complete more transactions. This creates a flywheel that continuously strengthens our competitive advantage.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Unique Business Model Balancing Stability and Growth</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unique business model consists of two synergistic layers, digitalization solutions and transaction services, each of which contributes critical value. Our digitalization solutions create a stable and in-depth connection between us and a vast base of auto merchants. This valuable connection provides us with a highly effective, reliable and low-cost channel to market our transaction services, as well as a wealth of proprietary industry data and insights for us to optimize our offerings.</w:t>
      </w:r>
    </w:p>
    <w:p>
      <w:pPr>
        <w:spacing w:after="0" w:line="178"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For instance, in the used car sector, 28.7% and 55.3%, respectively, of the active users on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are also customers to our transaction services in 2021 and 2022, respectively, and we expect this valuable connection to continue to strongly support our monetization efforts as we further expand the reach of our transaction services.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two layers of service offerings lend us both stability and growth potential.</w:t>
      </w:r>
    </w:p>
    <w:p>
      <w:pPr>
        <w:spacing w:after="0" w:line="131" w:lineRule="exact"/>
        <w:rPr>
          <w:sz w:val="20"/>
          <w:szCs w:val="20"/>
          <w:color w:val="auto"/>
        </w:rPr>
      </w:pPr>
    </w:p>
    <w:p>
      <w:pPr>
        <w:ind w:left="1080" w:right="2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digitalization solutions, characterized by their high conversion costs, recurring nature and strong user retention, provide resilient traffic and stable revenue, offering a buffer against industrial and business cycles.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 w:hanging="532"/>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transaction services, on the other hand, are transaction volume-driven. As transaction volumes grow and as our market penetration increases, our revenue is also likely to grow. In addition, as we broaden our range of service offerings, we gain access to a more extensive market, thereby unlocking immense growth opportunities.</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instance, we introduced financial products referral business in 2022. We have since formed partnerships with over 80 professional financial institutions and changed the way used car buyers finance their purchase with used car dealers. As of June 30, 2023, we have successfully facilitated over RMB1.3 billion auto loans for used car buyers, not only creating an additional revenue stream but also further diversifying our business model. Furthermore, as our operations continue to scale, we expect to attain enhanced efficiency, which will contribute to accelerate growth and strengthen our market leading position.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Integrated Service Offerings Creating Exceptional Customer Stickiness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multiple used car-related services are designed to be deeply integrated so that used car dealers can access substantially all of our used car-related services through a single user interface. This is a key differentiating factor as we replace what was historically a wide range of disconnected solutions and manual processes with a fully integrated platform. Our platform lies not only in its ability to offer integrated service offerings but also in its transformative impact on the used car industry. This transformation has been embraced by our dealers who show a high level of engagement and reliance on our platform.</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Just as with used car dealers, our integrated services have become a vital component in the auto commerce operations of OEMs. Our extensive offerings include customer engagement systems and applications, targeted marketing services, and efficient car delivery services. Our ability to provide such diverse yet unified services through one platform is tailored to meet the unique requirements of OEMs.</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our integrated platform has delivered compelling long-term value to our customers, engendering enduring loyalty. For used car dealers, they can access all the services related to used car transactions at once through our platform. As for OEMs, our integrated services help them enter lower-tier cities more rapidly and effectively, seizing the initiative in these emerging markets. We communicate with auto merchants on a regular basis to understand their business conditions, challenges they face, and how we could improve our service offerings to help them achieve their goals. The benefits our platform offers, combined with our dedication to understanding and supporting our customers’ needs, not only increase our customers’ efficiency and profitability but also create a strong bond between our platform and customers.</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is evident by the fact that 55 out of the top 100 used car dealers in China (based on information published by China Automobile Dealers Association) have used our services for more than five years, and 80 out of these used car dealers have used our services for more than two years, as of June 30, 2023. This trend underscores the loyalty we’ve cultivated, which continues to strengthen as our platform expands. In addition, the ARPU of our monetized dealers and brokers increased from RMB8,967 in 2021 to RMB10,276 in 2022, based on total revenues of RMB142.8 million and RMB234.2 million, respectively, generated from the transactions with such dealers and brokers in 2021 and 2022. The ARPU of our monetized dealers and brokers increased from RMB6,335 for the six months ended June 30, 2022 to RMB10,482 for the same period of 2023, based on total revenues of RMB89.0 million and RMB183.7 million, respectively, generated from the transactions with such dealers and brokers for the same periods. The amounts of revenues used to calculate ARPU exclude revenues from delivery services, customer engagement solutions, and marketing and sales services which we provide predominantly to OEMs.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Data-powered Business Intelligence for Auto Merchants’ Success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used car commerce, given our towering market share of over 90% in operating systems for China’s used car dealers and our quickly growing transaction services, we have a massive amount of industry data on both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dealers and vehicles. Our industry data also come in with impressive granularity that can help us profile dealers and their vehicles. For instance, we assign over 300 data points on each used car dealer, including their primary brands and models, inventory level and turnover rate, sale price, leads conversion rate and regional ranking, and over 70 data points on each used car, going in-depth to cover the vehicle’s make and model, production year, mileage, price, inspection history, body color and seat color, and so on.</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it is necessary but not sufficient to simply collect and compile data; it is critical that we turn data into insights and intelligence to help businesses run better. We pride ourselves in using our data capabilities to</w:t>
      </w:r>
    </w:p>
    <w:p>
      <w:pPr>
        <w:ind w:left="120"/>
        <w:spacing w:after="0"/>
        <w:rPr>
          <w:sz w:val="20"/>
          <w:szCs w:val="20"/>
          <w:color w:val="auto"/>
        </w:rPr>
      </w:pPr>
      <w:r>
        <w:rPr>
          <w:rFonts w:ascii="Times New Roman" w:cs="Times New Roman" w:eastAsia="Times New Roman" w:hAnsi="Times New Roman"/>
          <w:sz w:val="18"/>
          <w:szCs w:val="18"/>
          <w:color w:val="auto"/>
        </w:rPr>
        <w:t>assist dealers in making everyday business decisions, each of which might be small but together contribute to their greater competitiveness.</w:t>
      </w:r>
    </w:p>
    <w:p>
      <w:pPr>
        <w:spacing w:after="0" w:line="112" w:lineRule="exact"/>
        <w:rPr>
          <w:sz w:val="20"/>
          <w:szCs w:val="20"/>
          <w:color w:val="auto"/>
        </w:rPr>
      </w:pPr>
    </w:p>
    <w:p>
      <w:pPr>
        <w:jc w:val="both"/>
        <w:ind w:left="1080" w:right="20" w:hanging="532"/>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example, when a dealer is facing the decision of whether or not to pay a certain price to acquire a used car, we offer him “market intelligence” on the average inventory age and sales prices of this particular model and make of used car in his region, which provides a good reference of the supply-demand dynamics for this used car.</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auction platform is another good example of us turning data insights into higher transaction efficiency—we operate a unique flexi-bid auction model where the used cars coming up for auction would only be pushed to the dealers whose sales profiles indicate a general need for that particular car. Dealers can bid on the car on our platform at their convenience, as opposed to a fixed date and time under the conventional auction model. Our matching algorithms work constantly in the backend to achieve the optimal matching result, i.e., matching the dealer in urgent need for that car with the dealer who is eager to sell it and achieve a satisfactory price for both of them, without taking up too much of either dealer’s precious time or energy. We would not have been able to achieve this without in-depth profiling of both the dealers and the vehicles with our massive amounts of highly granular data.</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implemented AI in many aspects of our digitalization solutions and transaction services. We believe there is much room for efficiency improvements through AI’s development in the imminent future. We intend to incorporate more AI into our technology infrastructure, one key aspect of which would be training AI with more and better industry data. We believe we are the one of the most important sources for such data in China, and the digital operating environment we have created for used car dealers in particular will become the most likely place for deployment of AI-enabled technological advancements.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Visionary Management Team with Industry Expertise</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led by Mr. Junhong Yao, our founder and CEO, a pioneer and visionary in China’s auto industry. Mr. Yao co-founded CAR Inc., China’s largest car rental company, and he has over 18 years of experience in the car industry.</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Driven by a passion for developing the industry and a belief in the power of digital transformation and the opportunities it could bring about, he set out with a clear goal to solve the industry challenges and led all our efforts in building our business from the ground up. His vision, leadership and business instinct were indispensable to the success we achieved today.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Enhance Our Leadership in Digitalizing Auto Commerce in China</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aim to reach more auto merchants with our digitalization capability. Specifically, in the used car sector, we plan to extend our digitalization solutions to serve more small- and medium-sized long-tail used car dealers, whose operations are still largely manual and inefficient. In the new car sector, we aim to offer our digitalization solutions to more OEMs, both conventional ICE ones and pure EV brands, to bolster their DTC endeavors.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also dedicated to digitalizing more elements and steps in auto commerce. In the used car sector, our focus is on enticing dealers to utilize more of our digital functionalities in their everyday operations. In the new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car sector, we intend to help OEMs develop customer engagement solutions that not only smoothly integrate with their complex manufacturing and operations systems, but also with external social media platforms where consumers congregate.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Increase the Penetration Rate of Our Transaction Services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at an early stage of monetization with respect to transaction services. We intend to increase the penetration rate of our transaction services among China’s auto merchants, and steadily expand our revenue sources and amounts from this part of our offerings.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exceptionally well positioned to sell more transaction services to more auto merchants, whether through cross-sell or upsell. For used car dealers especially, much of their key operational process and dealer-to-dealer collaborations take place on the digital infrastructure we have built for them. We embed our transaction service offerings throughout their operational process, making them easy to access and hard to miss. For OEMs, the smooth integration of our customer engagement systems and customer-facing transaction services, such as marketing and single car delivery services, are also an appealing combination to them.</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Leveraging our granular understanding of the multifaceted needs of auto merchants, we can offer more targeted transaction services to them. For example, in used car B2B transaction facilitation, our data insight into both selling and buying dealers enables efficient matching that saves them time and energy. We believe this data-driven capability greatly enhances the competitiveness of our transaction services.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result, we believe we would increase our wallet share among auto merchants, and make us more of an indispensable business partner to auto merchants and their collaborators.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Promote AI-enabled Applications to Empower Auto Merchants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efficacy of AI applications is intrinsically tied to the quality and volume of data. We intend to craft industry-leading AI applications tailored for auto merchants, trained by our extensive pool of high-quality data derived from the millions of transactions and a myriad of digitalized business processes. For example, we have developed state-of-the-art used car pricing capacities, which self-iterates every two weeks fueled by fresh transaction data from on our platform.</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are a great deal of aspects in auto commerce that can be improved through AI applications, and we intend to continuously deploy AI applications to propel the evolution of China’s auto commerce. For example, we have integrated into our used car inspection service multiple AI-powered applications, such as OCRs in the field and auto verification processes in the background, which not only reduced our per-inspection time from 60 mins to 45 mins but also improved our inspection accuracy and helped us achieve an impressive error rate at only 1/4 of the industry average.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Export Our Capabilities to Expand Globally</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entire world is becoming more and more digitalized. Many other automotive markets in developing counties are similar to that of China’s a decade ago in terms of participant profile, transaction processes, and pain points, and are in great need of digitalization solutions.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initiating our overseas exploration, we expect to first introduce our mature digitalization solutions to these markets. We believe the solutions we have created for China’s auto merchants can help solve similar problems of the auto merchants elsewhere, especially in developing countries where the auto merchants did not experience PC-enabled digitalization before they entered the mobile age. We also intend to replicate the synergistic structure of integrating transaction services into a digital infrastructure in our global outreach, helping auto merchants in other markets achieve greater efficiency and profitability.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We Offer</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enable and empower auto merchants via two types of offerings: digitalization solutions and transaction services, through which we digitalize, integrate, and optimize nearly all aspects of auto merchants’ operations.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digitalization solutions, we charge annual subscription fees for SaaS products offered to used car dealers and new car brokers and service fees for project-based software products offered to OEMs. For transaction services, we charge service fees on a per-transaction basis, the amount of which could be a fixed price or a percentage of the nature of the transaction services we provide.</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Helping used car dealers was the objective underpinning our founding. It has been, for the past decade, our dedication and primary focus. Unbefitting the massive size and fast growth of China’s used car market, used car dealers, who undoubtedly play the most critical role in the used car market, mostly operated in a primitive and inefficient fashion. Their operating process, from inventory sourcing to inventory management, to marketing and customer management, to internal administration and financial analysis, was nearly all offline with key operational information scattered, unconnected and unanalyzable.</w:t>
      </w:r>
    </w:p>
    <w:p>
      <w:pPr>
        <w:spacing w:after="0" w:line="181"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It is against this backdrop that we embarked on our journey of digitalizing China’s used car commerce by providing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to used car dealers.</w:t>
      </w:r>
    </w:p>
    <w:p>
      <w:pPr>
        <w:spacing w:after="0" w:line="15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DaFengChe </w:t>
      </w:r>
      <w:r>
        <w:rPr>
          <w:rFonts w:ascii="Times New Roman" w:cs="Times New Roman" w:eastAsia="Times New Roman" w:hAnsi="Times New Roman"/>
          <w:sz w:val="18"/>
          <w:szCs w:val="18"/>
          <w:color w:val="auto"/>
        </w:rPr>
        <w:t>initially carried the mission of digitalizing and streamlining crucial aspects of used car dealers’ day-to-day operations, starting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inventory management on a SaaS application. It was an arduous journey as most used car dealers in China were not naturally adaptive to digital tools and systems in 2013, given their educational background and work experience. It took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nearly four years to gain substantial traction with China’s used car dealers, and nine years to reach an impressive market share of over 90%, according to CIC.</w:t>
      </w:r>
    </w:p>
    <w:p>
      <w:pPr>
        <w:spacing w:after="0" w:line="180"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gained wide adoption by used car dealers, we began to layer on various transaction services in our offering, such as B2B transaction facilitation services, used car inspection and certification services, delivery services, and financial products referral services.</w:t>
      </w:r>
    </w:p>
    <w:p>
      <w:pPr>
        <w:spacing w:after="0" w:line="158"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At the very beginning,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carried the mission of digitalizing used car dealers’ day-to-day operations, starting with inventory management and CRM. Since 2013, it gradually grew from a small enterprise resource planning, or ERP, application to an all-encompassing digital ally for used car dealers, covering all aspects of used car dealers’ operations.</w:t>
      </w:r>
    </w:p>
    <w:p>
      <w:pPr>
        <w:spacing w:after="0" w:line="17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Substantially all of our services offered to used car dealers are integrated on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Such integration provides used car dealers with an affordable one-stop-shop to conduct their businesses and sales conveniently and seamlessly. With the add-ons of various high-quality ancillary services, </w:t>
      </w:r>
      <w:r>
        <w:rPr>
          <w:rFonts w:ascii="Times New Roman" w:cs="Times New Roman" w:eastAsia="Times New Roman" w:hAnsi="Times New Roman"/>
          <w:sz w:val="18"/>
          <w:szCs w:val="18"/>
          <w:i w:val="1"/>
          <w:iCs w:val="1"/>
          <w:color w:val="auto"/>
        </w:rPr>
        <w:t xml:space="preserve">DaFengChe </w:t>
      </w:r>
      <w:r>
        <w:rPr>
          <w:rFonts w:ascii="Times New Roman" w:cs="Times New Roman" w:eastAsia="Times New Roman" w:hAnsi="Times New Roman"/>
          <w:sz w:val="18"/>
          <w:szCs w:val="18"/>
          <w:color w:val="auto"/>
        </w:rPr>
        <w:t>helps used car dealers reduce the hassle and costs associated with sourcing services from a number of dispersed suppliers with unassured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qualities. By using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used car dealers can streamline their operations, save valuable time and costs and optimize resources, which results in improved efficiency.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case study illustrates how our services benefit used car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169545</wp:posOffset>
            </wp:positionV>
            <wp:extent cx="6998970" cy="40589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8970" cy="4058920"/>
                    </a:xfrm>
                    <a:prstGeom prst="rect">
                      <a:avLst/>
                    </a:prstGeom>
                    <a:noFill/>
                  </pic:spPr>
                </pic:pic>
              </a:graphicData>
            </a:graphic>
          </wp:anchor>
        </w:drawing>
      </w:r>
    </w:p>
    <w:p>
      <w:pPr>
        <w:spacing w:after="0" w:line="284" w:lineRule="exact"/>
        <w:rPr>
          <w:sz w:val="20"/>
          <w:szCs w:val="20"/>
          <w:color w:val="auto"/>
        </w:rPr>
      </w:pPr>
    </w:p>
    <w:p>
      <w:pPr>
        <w:ind w:left="240" w:right="60"/>
        <w:spacing w:after="0" w:line="284" w:lineRule="auto"/>
        <w:rPr>
          <w:sz w:val="20"/>
          <w:szCs w:val="20"/>
          <w:color w:val="auto"/>
        </w:rPr>
      </w:pPr>
      <w:r>
        <w:rPr>
          <w:rFonts w:ascii="Times New Roman" w:cs="Times New Roman" w:eastAsia="Times New Roman" w:hAnsi="Times New Roman"/>
          <w:sz w:val="18"/>
          <w:szCs w:val="18"/>
          <w:i w:val="1"/>
          <w:iCs w:val="1"/>
          <w:color w:val="auto"/>
        </w:rPr>
        <w:t>In 2009, MMCAR started as a small used car dealership with just three employees, selling an average of 10 cars each month. They relied on manual processes but soon realized they needed to make changes.</w:t>
      </w:r>
    </w:p>
    <w:p>
      <w:pPr>
        <w:spacing w:after="0" w:line="158" w:lineRule="exact"/>
        <w:rPr>
          <w:sz w:val="20"/>
          <w:szCs w:val="20"/>
          <w:color w:val="auto"/>
        </w:rPr>
      </w:pPr>
    </w:p>
    <w:p>
      <w:pPr>
        <w:ind w:left="240" w:right="80"/>
        <w:spacing w:after="0" w:line="257" w:lineRule="auto"/>
        <w:rPr>
          <w:sz w:val="20"/>
          <w:szCs w:val="20"/>
          <w:color w:val="auto"/>
        </w:rPr>
      </w:pPr>
      <w:r>
        <w:rPr>
          <w:rFonts w:ascii="Times New Roman" w:cs="Times New Roman" w:eastAsia="Times New Roman" w:hAnsi="Times New Roman"/>
          <w:sz w:val="18"/>
          <w:szCs w:val="18"/>
          <w:i w:val="1"/>
          <w:iCs w:val="1"/>
          <w:color w:val="auto"/>
        </w:rPr>
        <w:t>In July 2015, MMCAR took a big step forward by adopting Dafengche. This move completely transformed how they operated. The dealership seamlessly transitioned from offline to online, as Dafengche streamlined every facet of its daily activities. Dafengche offered a wide range of tools that made it easy for MMCAR to handle multiple tasks including finding used cars, getting new customers, nurturing leads, making sales, and more, all within a unified digital environment, which also yielded substantial improvements in inventory turnover and operational efficiency. Additionally, MMCAR started using our various transaction services, including the trusted 268V brand for inspecting and certifying used cars. This made car transactions more transparent and built trust with their customers.</w:t>
      </w:r>
    </w:p>
    <w:p>
      <w:pPr>
        <w:spacing w:after="0" w:line="182" w:lineRule="exact"/>
        <w:rPr>
          <w:sz w:val="20"/>
          <w:szCs w:val="20"/>
          <w:color w:val="auto"/>
        </w:rPr>
      </w:pPr>
    </w:p>
    <w:p>
      <w:pPr>
        <w:ind w:left="240"/>
        <w:spacing w:after="0" w:line="261" w:lineRule="auto"/>
        <w:rPr>
          <w:sz w:val="20"/>
          <w:szCs w:val="20"/>
          <w:color w:val="auto"/>
        </w:rPr>
      </w:pPr>
      <w:r>
        <w:rPr>
          <w:rFonts w:ascii="Times New Roman" w:cs="Times New Roman" w:eastAsia="Times New Roman" w:hAnsi="Times New Roman"/>
          <w:sz w:val="18"/>
          <w:szCs w:val="18"/>
          <w:i w:val="1"/>
          <w:iCs w:val="1"/>
          <w:color w:val="auto"/>
        </w:rPr>
        <w:t>With the help of our digital solutions and transaction services, MMCAR grew from a small dealership to a major player in the used car market in Foshan, Guangdong. They now have the biggest used car showroom and the largest inventory in the local area. Since they started using our services, MMCAR’s average number of cars in their inventory jumped from 15 to a 148, and their monthly sales skyrocketed from 10 cars to an impressive 119. The average price per car also increased significantly from RMB120,000 to RMB540,000.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320" w:top="455" w:right="5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Used Car Services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used car services can be divided into two categories: (i) digitalization solutions; and (ii) transaction services, as illustrated by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5285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8604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employ a “freemium” model for the digitalization solutions where used car dealers pay an annual subscription fee for advanced functions while most of the other modules are offered for free. We charge a variable fee for our transaction services depending on the type of transaction and the level of our involvement required in providing the services.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Digitalization Solutions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digitalize and streamline crucial aspects of used car dealers’ operations, including (i) inventory sourcing, (ii) inventory management, (iii) marketing, (iv) sales, and (v) business analysis and internal administration. Substantially all of these solutions can be accessed through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Inventory Sourcing</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tools that empower used car dealers to effectively source cars from individual car owners. Our system helps dealers gather leads generated from various sources, such as the dealers’ online stores and third-party social media platforms. It also allows dealers to collect important information about these car owners and easily keep track of the leads. As dealers interact with these leads, we assist in categorizing them based on their stage in the inventory sourcing process by identifying leads as “Initial Contact,” “Negotiating,” “On Hold,” or “Closed Deal,” making it simpler for dealers to prioritize and manage their interactions.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offer used car dealers a suite of data-driven business intelligence tools to help them make informed sourcing decisions. For example, we use our own unique data capabilities to provide dealers with estimated price ranges for vehicles. We analyze various aspects of vehicles, such as quality, mileage, location, and the prices of previously sold cars in local markets, to identify suitable vehicles for dealers to acquire for their inventory. The following screenshot illustrates the inventory sourcing module of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142875</wp:posOffset>
            </wp:positionV>
            <wp:extent cx="4646295" cy="21170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4629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DaFengChe </w:t>
      </w:r>
      <w:r>
        <w:rPr>
          <w:rFonts w:ascii="Times New Roman" w:cs="Times New Roman" w:eastAsia="Times New Roman" w:hAnsi="Times New Roman"/>
          <w:sz w:val="18"/>
          <w:szCs w:val="18"/>
          <w:color w:val="auto"/>
        </w:rPr>
        <w:t>offers used car dealers access to our B2B transaction services as well as a range of other transaction services, such as inspection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 services, and delivery services. For detailed descriptions of these services, see “—What We Offer—Our Used Car Services—Transaction Services.”</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Inventory Management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s proprietary inventory management tools empower dealers to effectively manage their inventories using industry best practices.</w:t>
      </w:r>
    </w:p>
    <w:p>
      <w:pPr>
        <w:spacing w:after="0" w:line="22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inventory management system offers real-time monitoring of inventory status, giving dealers complete visibility over their inventory. Dealers can fill out standardized car information, including crucial details such as model, age, mileage, accident history, previous owner, license plate, and VIN number to create detailed and highly structured digital profiles for each vehicle in their inventory. With OCR technologies, we also allow dealers to conveniently upload car information by simply scanning the license plate of each vehicle. Furthermore, our system allows dealers to keep track of the various stages of each car’s full lifecycle by indicating whether a car is being acquired, undergoing reconditioning, ready for sale, under negotiation, or already sold. It also automatically sends alerts to dealers about slow-moving inventory. By identifying which cars are taking longer to sell, dealers can take proactive measures to improve sales, such as implementing marketing strategies or making price adjustments if necessary. This ensures that dealers can manage their workflow more efficiently, avoiding any oversights or delays during a vehicle’s journey within their dealerships.</w:t>
      </w:r>
    </w:p>
    <w:p>
      <w:pPr>
        <w:spacing w:after="0" w:line="19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inventory management tools set them apart from competing offerings by offering a more comprehensive range of business intelligence support. Through advanced data analytics, we keep dealers abreast of the latest market trends, such as estimated market price and level of demand for particular car makes, based on an analysis of the inventories of the dealer community. We assist dealers in identifying the optimal price range for vehicles based on their conditions and recent sales data, such as prices from the latest transactions, collected through our platform. With these insights, dealers can accurately gage market demands and optimize their inventory strategies.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screenshots below demonstrate how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empowers dealers with comprehensive visibility over their inventory, presented through charts and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130175</wp:posOffset>
            </wp:positionV>
            <wp:extent cx="4603115" cy="20999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0311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inventory management stage, we provide used car inspection and certification services to dealers. Dealers can generate detailed inspection reports for their vehicles to inform their inventory management efforts. See “—What We Offer—Our Used Car Services—Transaction Services—Used Car Inspection and Certification.”</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Marketing</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offer data-driven marketing tools to help used car dealers establish online storefronts, engage in online advertising and nurture and convert sales leads.</w:t>
      </w:r>
    </w:p>
    <w:p>
      <w:pPr>
        <w:spacing w:after="0" w:line="160"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We help used car dealers establish online shops that are seamlessly integrated with </w:t>
      </w:r>
      <w:r>
        <w:rPr>
          <w:rFonts w:ascii="Times New Roman" w:cs="Times New Roman" w:eastAsia="Times New Roman" w:hAnsi="Times New Roman"/>
          <w:sz w:val="17"/>
          <w:szCs w:val="17"/>
          <w:i w:val="1"/>
          <w:iCs w:val="1"/>
          <w:color w:val="auto"/>
        </w:rPr>
        <w:t>WeChat</w:t>
      </w:r>
      <w:r>
        <w:rPr>
          <w:rFonts w:ascii="Times New Roman" w:cs="Times New Roman" w:eastAsia="Times New Roman" w:hAnsi="Times New Roman"/>
          <w:sz w:val="17"/>
          <w:szCs w:val="17"/>
          <w:color w:val="auto"/>
        </w:rPr>
        <w:t xml:space="preserve"> as well as multiple other major social platforms in China, such as </w:t>
      </w:r>
      <w:r>
        <w:rPr>
          <w:rFonts w:ascii="Times New Roman" w:cs="Times New Roman" w:eastAsia="Times New Roman" w:hAnsi="Times New Roman"/>
          <w:sz w:val="17"/>
          <w:szCs w:val="17"/>
          <w:i w:val="1"/>
          <w:iCs w:val="1"/>
          <w:color w:val="auto"/>
        </w:rPr>
        <w:t>Douyin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Kuaishou, Autohome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Xianyu</w:t>
      </w:r>
      <w:r>
        <w:rPr>
          <w:rFonts w:ascii="Times New Roman" w:cs="Times New Roman" w:eastAsia="Times New Roman" w:hAnsi="Times New Roman"/>
          <w:sz w:val="17"/>
          <w:szCs w:val="17"/>
          <w:color w:val="auto"/>
        </w:rPr>
        <w:t xml:space="preserve"> (China’s largest online marketplace for used items). Through these online stores, dealers can showcase and promote their inventory and directly interact with potential customers. We provide dealers with a wide range of tools and customizable templates to design their own unique storefronts. We offer dealers a range of ready-to-use promotion tools, such as virtual coupons or posters that can be easily shared by the dealers or their customers within their social circles through these platforms, channeling more traffic to the dealers’ online stores.</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Through the integration between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and these third-party platforms, we empower dealers to capture leads generated on these platforms and seamlessly direct them back to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Specifically, we help dealers identify and gather sales leads through analysis of customer engagements on various third-party platforms and instant messaging applications and evaluate the likelihood of lead conversion into actual sales. This feature allows dealers to make informed decisions when assigning sales representatives, ensuring that the most suitable and skilled individuals follow up on the leads. Moreover, we provide comprehensive tools that dealers can use to aggregate, track, and analyze these leads, offering them insights essential for optimizing their marketing strategies.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following screenshots illustrate how our marketing tools help used car dealers establish online stores, easily promote their inventory with a wider audience on </w:t>
      </w:r>
      <w:r>
        <w:rPr>
          <w:rFonts w:ascii="Times New Roman" w:cs="Times New Roman" w:eastAsia="Times New Roman" w:hAnsi="Times New Roman"/>
          <w:sz w:val="18"/>
          <w:szCs w:val="18"/>
          <w:i w:val="1"/>
          <w:iCs w:val="1"/>
          <w:color w:val="auto"/>
        </w:rPr>
        <w:t>WeChat</w:t>
      </w:r>
      <w:r>
        <w:rPr>
          <w:rFonts w:ascii="Times New Roman" w:cs="Times New Roman" w:eastAsia="Times New Roman" w:hAnsi="Times New Roman"/>
          <w:sz w:val="18"/>
          <w:szCs w:val="18"/>
          <w:color w:val="auto"/>
        </w:rPr>
        <w:t xml:space="preserve">, and aggregate, track and analyze sales leads generated from </w:t>
      </w:r>
      <w:r>
        <w:rPr>
          <w:rFonts w:ascii="Times New Roman" w:cs="Times New Roman" w:eastAsia="Times New Roman" w:hAnsi="Times New Roman"/>
          <w:sz w:val="18"/>
          <w:szCs w:val="18"/>
          <w:i w:val="1"/>
          <w:iCs w:val="1"/>
          <w:color w:val="auto"/>
        </w:rPr>
        <w:t>Douyin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131445</wp:posOffset>
            </wp:positionV>
            <wp:extent cx="4603115" cy="20999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0311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to helping dealers establish a digital presence, our marketing tools allow dealers to track the origin of each lead, the associated marketing efforts and the stage of the customer’s journey. Dealers can keep a record of all their communications with potential customers, ensuring that their sales representatives have access to past interactions and can maintain a seamless conversation with customers. Furthermore, our tools enable dealers to analyze the performance of their marketing efforts by measuring specific KPIs, such as lead conversion rates from different marketing channels. This valuable data helps dealers identify successful marketing strategies and determine which channels are most effective in generating leads so that they can allocate marketing budgets more effectively.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Sales</w:t>
      </w:r>
    </w:p>
    <w:p>
      <w:pPr>
        <w:spacing w:after="0" w:line="117"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DaFengChe </w:t>
      </w:r>
      <w:r>
        <w:rPr>
          <w:rFonts w:ascii="Times New Roman" w:cs="Times New Roman" w:eastAsia="Times New Roman" w:hAnsi="Times New Roman"/>
          <w:sz w:val="18"/>
          <w:szCs w:val="18"/>
          <w:color w:val="auto"/>
        </w:rPr>
        <w:t>provides comprehensive sales-related tools to facilitate dealers’ sales of used cars to both end-consumers (i.e., “To-C”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used car dealers (i.e., “To-B” sales).</w:t>
      </w:r>
    </w:p>
    <w:p>
      <w:pPr>
        <w:spacing w:after="0" w:line="158"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DaFengChe </w:t>
      </w:r>
      <w:r>
        <w:rPr>
          <w:rFonts w:ascii="Times New Roman" w:cs="Times New Roman" w:eastAsia="Times New Roman" w:hAnsi="Times New Roman"/>
          <w:sz w:val="18"/>
          <w:szCs w:val="18"/>
          <w:color w:val="auto"/>
        </w:rPr>
        <w:t>helps dealers manage the entire customer journey, starting from leads acquisition, initial interaction, in-store visits, ultimately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final purchase and even after-sales support and services.</w:t>
      </w:r>
    </w:p>
    <w:p>
      <w:pPr>
        <w:spacing w:after="0" w:line="158"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Based on customer preference information gathered from the marketing module,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pulls up the most suitable cars from the dealer’s inventory. If the dealer’s current inventory does not match the customer’s preferences,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proactively suggests available cars from nearby used car dealers. This feature allows the first dealer to source the desired cars from other dealers, maximizing the chance of making a sale.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following screenshot illustrates how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allows dealers to engage with potential customers throughout different milestones during their lifecycle: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130175</wp:posOffset>
            </wp:positionV>
            <wp:extent cx="5186045" cy="23742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860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DaFengChe </w:t>
      </w:r>
      <w:r>
        <w:rPr>
          <w:rFonts w:ascii="Times New Roman" w:cs="Times New Roman" w:eastAsia="Times New Roman" w:hAnsi="Times New Roman"/>
          <w:sz w:val="18"/>
          <w:szCs w:val="18"/>
          <w:color w:val="auto"/>
        </w:rPr>
        <w:t>allows dealers to sell cars to other dealers by posting information about their inventory on various B2B transaction platforms,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our B2B auction platform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DaFengChe’s </w:t>
      </w:r>
      <w:r>
        <w:rPr>
          <w:rFonts w:ascii="Times New Roman" w:cs="Times New Roman" w:eastAsia="Times New Roman" w:hAnsi="Times New Roman"/>
          <w:sz w:val="18"/>
          <w:szCs w:val="18"/>
          <w:color w:val="auto"/>
        </w:rPr>
        <w:t>sales module also allows dealers to conveniently access a range of essential transaction services to ensure a seamless buying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such as used car inspection and certification services, financial products referral services, and delivery services. For details, see “—What We Offer—Our Used Car Services—Transaction Services.”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Business Analysis and Internal Administration</w:t>
      </w:r>
    </w:p>
    <w:p>
      <w:pPr>
        <w:spacing w:after="0" w:line="117"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DaFengChe </w:t>
      </w:r>
      <w:r>
        <w:rPr>
          <w:rFonts w:ascii="Times New Roman" w:cs="Times New Roman" w:eastAsia="Times New Roman" w:hAnsi="Times New Roman"/>
          <w:sz w:val="18"/>
          <w:szCs w:val="18"/>
          <w:color w:val="auto"/>
        </w:rPr>
        <w:t>also offers integrated back-office functions, which cover business data analysis, HR, finance, legal and internal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bringing modern corporate management practices and tools to used car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130175</wp:posOffset>
            </wp:positionV>
            <wp:extent cx="5186045" cy="23742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860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With these tools, a used car dealer can easily monitor sales and fund, track profit per car for all brands, know which social media platform deserves more marketing investment, and just overall manage his business with much more ease and efficiency.</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Transaction Services</w:t>
      </w:r>
    </w:p>
    <w:p>
      <w:pPr>
        <w:spacing w:after="0" w:line="22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offer a wide range of high-quality transaction services catered specifically to used car dealers, leveraging our broad dealer network and deep connections with used car dealers and their collaborators, as well as our in-depth industry expertise and insights into used car dealers’ operations. We charge a fee for our transaction fees depending on the type of transaction and the level of our involvement required in providing the services.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transaction services we provide primarily serve three main aspects of a used car dealer’s operations: inventory sourcing, inventory management and sales, where they often need to collaborate with other dealers, as well as third-party service providers, such as inspectors, transporters, and financial institutions who we refer to as “collaborators.”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B2B Transaction Facilitation</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Due to the highly scattered and unpredictable nature of used car disposal by individual car owners, used car dealers tend to take in inventory when they have a chance to buy used cars directly from consumers, and resell to other dealers the ones that do not match their product portfolio and branding. This has led to a constant flow of used car inventory from dealers to dealers, as well as between cities. The result is a very large and active dealer-to-dealer, or B2B, market for used car commerce.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offer the following two types of B2B transaction facilitation services to help used car dealers more efficiently source supply from other dealers, or on the flip side of the same transaction, dispose of unwanted inventory to another dealer:</w:t>
      </w:r>
    </w:p>
    <w:p>
      <w:pPr>
        <w:spacing w:after="0" w:line="65" w:lineRule="exact"/>
        <w:rPr>
          <w:sz w:val="20"/>
          <w:szCs w:val="20"/>
          <w:color w:val="auto"/>
        </w:rPr>
      </w:pPr>
    </w:p>
    <w:p>
      <w:pPr>
        <w:ind w:left="1080" w:right="20" w:hanging="532"/>
        <w:spacing w:after="0" w:line="284"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“light-touch” platform through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where dealers can freely list their for-sale inventories by posting certain essential information about them.</w:t>
      </w:r>
    </w:p>
    <w:p>
      <w:pPr>
        <w:spacing w:after="0" w:line="52" w:lineRule="exact"/>
        <w:rPr>
          <w:rFonts w:ascii="Times New Roman" w:cs="Times New Roman" w:eastAsia="Times New Roman" w:hAnsi="Times New Roman"/>
          <w:sz w:val="18"/>
          <w:szCs w:val="18"/>
          <w:color w:val="auto"/>
        </w:rPr>
      </w:pPr>
    </w:p>
    <w:p>
      <w:pPr>
        <w:jc w:val="both"/>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inventory’s truthfulness and availability, we cross-check vehicle listing information against our database and employ AI-enabled tracking and analysis to amend or remove inaccurate listings. We encourage but do not require dealers to provide inspection reports for used cars listed on this “light-touch” platform.</w:t>
      </w:r>
    </w:p>
    <w:p>
      <w:pPr>
        <w:spacing w:after="0" w:line="67" w:lineRule="exact"/>
        <w:rPr>
          <w:rFonts w:ascii="Times New Roman" w:cs="Times New Roman" w:eastAsia="Times New Roman" w:hAnsi="Times New Roman"/>
          <w:sz w:val="18"/>
          <w:szCs w:val="18"/>
          <w:color w:val="auto"/>
        </w:rPr>
      </w:pPr>
    </w:p>
    <w:p>
      <w:pPr>
        <w:jc w:val="both"/>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Thanks to the flexibility of this platform, dealers may even secure resales for cars they are trying to but have not yet purchased from an individual car owner, making the C2B2B transaction chain more streamlined and more efficient, and helping more used car dealers tackle their inherent challenge of supply-demand mismatch.</w:t>
      </w:r>
    </w:p>
    <w:p>
      <w:pPr>
        <w:spacing w:after="0" w:line="79" w:lineRule="exact"/>
        <w:rPr>
          <w:rFonts w:ascii="Times New Roman" w:cs="Times New Roman" w:eastAsia="Times New Roman" w:hAnsi="Times New Roman"/>
          <w:sz w:val="18"/>
          <w:szCs w:val="18"/>
          <w:color w:val="auto"/>
        </w:rPr>
      </w:pPr>
    </w:p>
    <w:p>
      <w:pPr>
        <w:ind w:left="1080" w:right="20" w:hanging="532"/>
        <w:spacing w:after="0" w:line="284"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“heavy-touch” online auction platform named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that is integrated into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where dealers buy used cars from other dealers through a highly managed process that assures availability, quality, and timeliness.</w:t>
      </w:r>
    </w:p>
    <w:p>
      <w:pPr>
        <w:spacing w:after="0" w:line="50" w:lineRule="exact"/>
        <w:rPr>
          <w:rFonts w:ascii="Times New Roman" w:cs="Times New Roman" w:eastAsia="Times New Roman" w:hAnsi="Times New Roman"/>
          <w:sz w:val="18"/>
          <w:szCs w:val="18"/>
          <w:color w:val="auto"/>
        </w:rPr>
      </w:pPr>
    </w:p>
    <w:p>
      <w:pPr>
        <w:jc w:val="both"/>
        <w:ind w:left="110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ensure transaction certainty, dealers using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must pay a deposit which would be used against default penalty.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requires all auctioned used cars come with qualified inspection reports, and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provides warranty to buyers for undetected material defects. Auction payments are made through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to ensure payment security.</w:t>
      </w:r>
    </w:p>
    <w:p>
      <w:pPr>
        <w:spacing w:after="0" w:line="17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unique competitive advantages in B2B transaction facilitation, thanks to the prevalence of our digitalization solutions among China’s used car dealers.</w:t>
      </w:r>
    </w:p>
    <w:p>
      <w:pPr>
        <w:spacing w:after="0" w:line="67" w:lineRule="exact"/>
        <w:rPr>
          <w:sz w:val="20"/>
          <w:szCs w:val="20"/>
          <w:color w:val="auto"/>
        </w:rPr>
      </w:pPr>
    </w:p>
    <w:p>
      <w:pPr>
        <w:jc w:val="both"/>
        <w:ind w:left="1080" w:right="20" w:hanging="532"/>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Our digitalization solutions connect us with the largest and most active used car dealer base, as well as a significant number of established authorized dealer groups. Our user base collectively accounts for 50% of the country’s total used car inventory sources, according to CIC. As a result, our B2B transaction facilitation platforms naturally enjoy a wealth of active participants who are always looking to buy or sell as part of their daily business.</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58"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Insight</w:t>
      </w:r>
      <w:r>
        <w:rPr>
          <w:rFonts w:ascii="Times New Roman" w:cs="Times New Roman" w:eastAsia="Times New Roman" w:hAnsi="Times New Roman"/>
          <w:sz w:val="18"/>
          <w:szCs w:val="18"/>
          <w:color w:val="auto"/>
        </w:rPr>
        <w:t>: Our digitalization solutions enable us to provide unparalleled data-driven matching between a buying dealer and a selling dealer. We have a semi “God’s eye view” on China’s used car commerce, owing to our extensive digitalization of and participation in used car dealers’ business activities. As a result, we are able to analyze over 300 data points on an individual dealer and over 70 data points on an individual used car. Our matching algorithm takes in all those data, which are always being updated as the dealers and used cars change, and produces high quality matching between the selling and buying sides.</w:t>
      </w:r>
    </w:p>
    <w:p>
      <w:pPr>
        <w:spacing w:after="0" w:line="183" w:lineRule="exact"/>
        <w:rPr>
          <w:sz w:val="20"/>
          <w:szCs w:val="20"/>
          <w:color w:val="auto"/>
        </w:rPr>
      </w:pPr>
    </w:p>
    <w:p>
      <w:pPr>
        <w:jc w:val="both"/>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Our auction platform is another good example of us turning data insights into higher transaction efficiency—we operate a unique flexi-bid auction model where the used cars coming up for auction would only be pushed to the dealers whose sales profiles indicate a general need for that particular car. Dealers can bid on the car on our platform at their convenience, as opposed to a fixed date and time under the conventional auction model. Our matching algorithms work constantly in the backend to achieve the optimal matching result, i.e., matching the dealer in urgent need for that car with the dealer who is eager to sell it and achieve a satisfactory price for both of them, without taking up too much of either dealer’s precious time or energy. We would not have been able to achieve this without in-depth profiling of both the dealers and the vehicles with our massive amounts of highly granular data.</w:t>
      </w:r>
    </w:p>
    <w:p>
      <w:pPr>
        <w:spacing w:after="0" w:line="171"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CheYiPai </w:t>
      </w:r>
      <w:r>
        <w:rPr>
          <w:rFonts w:ascii="Times New Roman" w:cs="Times New Roman" w:eastAsia="Times New Roman" w:hAnsi="Times New Roman"/>
          <w:sz w:val="18"/>
          <w:szCs w:val="18"/>
          <w:color w:val="auto"/>
        </w:rPr>
        <w:t>is the largest B2B online used car auction platform in China in terms of transaction volume in 2022, according to CIC.</w:t>
      </w:r>
      <w:r>
        <w:rPr>
          <w:rFonts w:ascii="Times New Roman" w:cs="Times New Roman" w:eastAsia="Times New Roman" w:hAnsi="Times New Roman"/>
          <w:sz w:val="18"/>
          <w:szCs w:val="18"/>
          <w:i w:val="1"/>
          <w:iCs w:val="1"/>
          <w:color w:val="auto"/>
        </w:rPr>
        <w:t xml:space="preserve"> CheYiPai</w:t>
      </w:r>
      <w:r>
        <w:rPr>
          <w:rFonts w:ascii="Times New Roman" w:cs="Times New Roman" w:eastAsia="Times New Roman" w:hAnsi="Times New Roman"/>
          <w:sz w:val="18"/>
          <w:szCs w:val="18"/>
          <w:color w:val="auto"/>
        </w:rPr>
        <w:t>’s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increased from 105,371 units in 2021 to 141,046 units in 2022, and its average auction sales rate increased from 29.8% in 2020 to approximately 44.1% in the first half of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charge each buyer a commission at a pre-negotiated rate, representing a certain percentage of the total sales price, on each B2B transaction completed through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Used Car Inspection and Certification</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provide industry-leading used car inspection and certification services under the commercial brand 268V. Our used car inspection scrutinizes over 480 check points, including exterior damages, mechanical issues, structural issues, engine and power systems through on-site inspection feedback and database cross-check.</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Unlike nearly all competing services in the market which only rely on on-site inspection results, we employ a two-step approach to ensure integrity and accuracy. First, our well trained inspectors perform a thorough physical examination of the vehicle, using special tools provided by us and following specific steps detailed in our inspection manual, and upload all required image and text results to our system. Then, all vehicle information is cross-checked against our vast database to ensure that no historic damage or defect pass our used car inspection undetected.</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first half of 2023, we achieved an average error rate of 0.2‰, significantly lower than the industry average error rate of 0.8‰, according to CIC. The high quality of our used car inspection enables us to certify against major accident, fire damage, and water damage for vehicles we inspected with a 90-day buy back warranty offered to consumers.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over 18 years of experience in used car inspection as an ancillary service in our used car B2B auction platform business, but we have only started offering it as a commercial product in June 2021, since which time it has grown very rapidly into a service offering encompassing a network of 455 inspection stations in 249 cities, and over 3,000 inspectors, including 163 employee inspectors and 2,843 contracted inspectors, as of June 30, 2023.</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reliable and well-trusted used car inspection and certification services help car sellers and dealers discover the best prices and provide valuable endorsement for used dealers seeking to sell their inventories. Our inspection reports are generated in digital form. It is integrated into </w:t>
      </w:r>
      <w:r>
        <w:rPr>
          <w:rFonts w:ascii="Times New Roman" w:cs="Times New Roman" w:eastAsia="Times New Roman" w:hAnsi="Times New Roman"/>
          <w:sz w:val="18"/>
          <w:szCs w:val="18"/>
          <w:i w:val="1"/>
          <w:iCs w:val="1"/>
          <w:color w:val="auto"/>
        </w:rPr>
        <w:t xml:space="preserve">DaFengChe </w:t>
      </w:r>
      <w:r>
        <w:rPr>
          <w:rFonts w:ascii="Times New Roman" w:cs="Times New Roman" w:eastAsia="Times New Roman" w:hAnsi="Times New Roman"/>
          <w:sz w:val="18"/>
          <w:szCs w:val="18"/>
          <w:color w:val="auto"/>
        </w:rPr>
        <w:t>and automatically shows up in the used car’s online profile in the dealer’s operating system. Dealers can easily share the used car’s profile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inspection report embedded as part of the profile. Dealers can also print the inspection report in an attractive certificate form and display it on the vehicle in the showroom.</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As an industry pioneer we have participated in formulating China’s industry standards for used car inspection and certification. Our award-winning 268V used car inspection standards have been recognized by the China Automobile Dealers Association (CADA), one of the largest and most influential automobile dealer associations in China. In addition, we are a leader in China’s used car market with inspection capabilities on used EVs. The total volume of used car inspections that we performed increased by 37.7% from 582,846 in 2021 to 802,570 in 2022 and increased by 6.9% from 376,548 in the first half of 2022 to 404,346 in the first half of 2023.</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Used car inspection solves the critical problem of trust for consumers. We expect that the used car inspection volume will continue to grow significantly in China, where used car supply is steadily on the rise and it is tilting towards a buyers’ market with more consumer bargaining power. As an established platform, we are well positioned to further penetrate the used car dealer community to expand our used car inspection services.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charge a variable fee for each used car inspection, depending on the complexity and thoroughness of the used car inspections performed.</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Products Referral</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Capitalizing on our large and active used car dealer community, we offer referral services to financial institutions eager to reach end consumers via a more efficient channel. We connect financial institutions directly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used car dealers, who are the selling party and best positioned to recommend financial products to a buying consumer.</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After browsing, comparing, and deliberating, the consumer has at last decided to purchase a used car, and it is time to figure out the payment plan. Given the highly dispersed nature of used car transactions, financial institutions do not have easy means to reach an individual consumer when the financing needs of the latter emerge, and individual consumers lack direct channels to obtain suitable financial products at the time of purchasing cars. Used car dealers are almost the only conduit between the two parties.</w:t>
      </w:r>
    </w:p>
    <w:p>
      <w:pPr>
        <w:spacing w:after="0" w:line="17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initiate a loan application, a car buyer simply needs to scan a QR code on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to authorize access to his or her basic personal information, and the rest of the necessary information about the vehicle and the transaction will largely be pulled from our system. The completed application will then be instantly sent to the financial institution for review with initial results about eligibility and key terms being relayed back to the consumer via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typically under 30 minutes.</w:t>
      </w:r>
    </w:p>
    <w:p>
      <w:pPr>
        <w:spacing w:after="0" w:line="18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provide only referral services to financial institutions without participating in any of their decisions or taking on any of their financial exposure. The financial products are entirely funded by financial institutions, who independently assess car buyers’ applications and all associated credit risks. We do not provide any guarantee regarding the car buyers’ repayments of the loans and do not take part in the financial institutions’ post-loan risk management.</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financial products referral services stand out with two distinct advantages of “direct connection” and “digitalized process”, compared to nearly all other competing services in the market.</w:t>
      </w:r>
    </w:p>
    <w:p>
      <w:pPr>
        <w:spacing w:after="0" w:line="65" w:lineRule="exact"/>
        <w:rPr>
          <w:sz w:val="20"/>
          <w:szCs w:val="20"/>
          <w:color w:val="auto"/>
        </w:rPr>
      </w:pPr>
    </w:p>
    <w:p>
      <w:pPr>
        <w:jc w:val="both"/>
        <w:ind w:left="1080" w:right="20" w:hanging="532"/>
        <w:spacing w:after="0" w:line="261"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Connection</w:t>
      </w:r>
      <w:r>
        <w:rPr>
          <w:rFonts w:ascii="Times New Roman" w:cs="Times New Roman" w:eastAsia="Times New Roman" w:hAnsi="Times New Roman"/>
          <w:sz w:val="18"/>
          <w:szCs w:val="18"/>
          <w:color w:val="auto"/>
        </w:rPr>
        <w:t>. Financial institutions no longer need the three or four layers of intermediaries on provincial, regional, municipal,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 market levels, which costed them significantly in both commissions and management resources, to reach a large base of used car dealers. We provide direct connection via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to the most established and active used car dealers in the entire country, at a lower cost.</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Digitalized Process</w:t>
      </w:r>
      <w:r>
        <w:rPr>
          <w:rFonts w:ascii="Times New Roman" w:cs="Times New Roman" w:eastAsia="Times New Roman" w:hAnsi="Times New Roman"/>
          <w:sz w:val="18"/>
          <w:szCs w:val="18"/>
          <w:color w:val="auto"/>
        </w:rPr>
        <w:t>. The initiation of a loan application takes place in the digital operating environment we have created for used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dealers, making it easier for all parties involved. The used car dealers save the trouble of manually inputting a large amount of required information and juggling multiple systems and applications, the financial institutions receive information in a more streamlined fashion, and the consumer enjoys an expedient process without much hassle.</w:t>
      </w:r>
    </w:p>
    <w:p>
      <w:pPr>
        <w:spacing w:after="0" w:line="18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These advantages translate into higher efficiency and lower costs for financial institutions. They could then share part of the savings with used car dealers and end consumers to make their financial products more competitive, which in turn increases their reliability on our services and strengthens our ecosystem.</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started offering financial products referral services in 2021, and it has grown at an impressive rate. The gross loan amounts through our referral services were RMB431.1 million (US$59.5 million), RMB143.0 million, and RMB846.1 million (US$116.7 million) in 2022 and the six months ended June 30, 2022 and 2023,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receive a commission from financial institutions based on the loan amounts achieved through our referral services.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Delivery</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provide delivery services to facilitate used car dealers’ inventory sourcing from dealers in other regions. In a vast and multi-tiered market like China, the general flow of used car supply tends to be from higher tier cities to lower tier cities, and from more developed Eastern regions to less developed Western regions. Approximately 25% of used car transactions are cross-provincial in 2022, according to CIC.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used car delivery services consist primarily of title transfer and transportation services. In China, transferring the title of a used car involves on-the-ground regulatory procedures, adding to the cost of non-local inventory sourcing. Transportation of used cars from other cities faces similar issues of physical handling of the car and related documents. As a platform with nationwide presence, we easily address such issues through our national network of employees and agents, providing used car dealers with a one-stop shop experience with higher assurance of quality and security compared to smaller vendors in a distant city.</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June 30, 2023, our delivery service network consisted of over 3,900 logistics companies with 32,527 car-shipping trucks, serving 2,628 counties in all provinces in mainland China, except Xizang and Qinghai. We do not own or operate any car-shipping trucks.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Leveraging our vast and active used car dealer community and our strong B2B transaction facilitation services, we are quickly expanding the penetration rate of our delivery services. Additionally, as the combination of live streaming and trustworthy inspection reports is expected to increase the number of online purchases of used cars by consumers, we see additional opportunities for us in consumer-facing single car delivery on behalf of used car dealers.</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charge service fees for our delivery services, the amount of which generally varies based on service complexity and transportation distance, among other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New Car Services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started offering digitalization solutions to new car merchants because they are the largest concentrated used car inventory source and they often also engage in used car sales. Leveraging our expertise, we naturally expanded into providing additional digitalization solutions and transaction services to them with respect to new cars, especially in customer engagement and delivery.</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rise of EV in China created a shift in new car sales model from the traditional one centered on authorized dealers to the DTC sales model. The DTC sales model not only reduces OEMs’ distribution costs but also enables them to build long-term direct relationships with end consumers, which means invaluable feedback and future sales opportunities. OEMs’ role is transitioning from “auto manufacturers and </w:t>
      </w:r>
      <w:r>
        <w:rPr>
          <w:rFonts w:ascii="Times New Roman" w:cs="Times New Roman" w:eastAsia="Times New Roman" w:hAnsi="Times New Roman"/>
          <w:sz w:val="18"/>
          <w:szCs w:val="18"/>
          <w:i w:val="1"/>
          <w:iCs w:val="1"/>
          <w:color w:val="auto"/>
        </w:rPr>
        <w:t>wholesalers</w:t>
      </w:r>
      <w:r>
        <w:rPr>
          <w:rFonts w:ascii="Times New Roman" w:cs="Times New Roman" w:eastAsia="Times New Roman" w:hAnsi="Times New Roman"/>
          <w:sz w:val="18"/>
          <w:szCs w:val="18"/>
          <w:color w:val="auto"/>
        </w:rPr>
        <w:t xml:space="preserve">” to “auto manufacturers and </w:t>
      </w:r>
      <w:r>
        <w:rPr>
          <w:rFonts w:ascii="Times New Roman" w:cs="Times New Roman" w:eastAsia="Times New Roman" w:hAnsi="Times New Roman"/>
          <w:sz w:val="18"/>
          <w:szCs w:val="18"/>
          <w:i w:val="1"/>
          <w:iCs w:val="1"/>
          <w:color w:val="auto"/>
        </w:rPr>
        <w:t>retailers</w:t>
      </w:r>
      <w:r>
        <w:rPr>
          <w:rFonts w:ascii="Times New Roman" w:cs="Times New Roman" w:eastAsia="Times New Roman" w:hAnsi="Times New Roman"/>
          <w:sz w:val="18"/>
          <w:szCs w:val="18"/>
          <w:color w:val="auto"/>
        </w:rPr>
        <w:t>,” and as a result, they require a slew of new services that are consumer-facing, such as customer engagement solutions, marketing and delivery.</w:t>
      </w:r>
    </w:p>
    <w:p>
      <w:pPr>
        <w:spacing w:after="0" w:line="18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offer (i) digitalization solutions, including customer engagement solutions for OEMs, and operating system and listing platform for new car brokers, and (ii) transaction services, including delivery services and marketing and sale services, to new car merchants.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Digitalization Solutions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Customer Engagement Solutions—OEMs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develop digital systems and applications to help OEMs manage the entire spectrum of their interactions with customers, from leads conversion, to order-driven manufacturing, delivery and after-sales services. All of them center on direct customer engagement, which is a new battle front for most OEMs.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develop and manage customer-facing mobile applications for OEMs, where they can continue to have direct and frequent engagement with customers and maintain an active user community. Customers can use these applications to purchase cars, customize vehicle configurations, and control access to their vehicles. These applications also offer a suite of other services, such as financing, insurance, repair and maintenance.</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from digitalization solutions to OEMs primarily on a project basis, with additional long-term revenue from certain related services, such as application management and system maintenance.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screenshots illustrate an example of the customer-facing mobile application that we developed for an OEM: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6231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8604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provide mature digital solutions to OEMs. On one hand our comprehensive customer engagement systems guide the OEMs through the new territory of direct consumer engagement and help them establish customer-centric digital retail and marketing capacities. On the other hand, our customer engagement systems seamlessly integrate with OEMs’ existing systems to enable order-driven manufacturing, real-time status tracking and timely accounting, allowing them to optimize supply chain as well as manufacturing, logistics and inventory processes. With our customer engagement systems, OEMs can fully reap the immense operational benefit of direct consumer feedback at multiple stages from production to sales planning. For example, through our digital solutions, we enable Lotus and Zeekr, EV brands under Geely, to dynamically manage inventory, monitor sales and production progresses and make sales forecast plans based on real-time analysis on market demand.</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June 30, 2023, we counted 36 OEMs as clients of our digitalization solutions, including prominent global and Chinese automotive leaders, such as BMW, GAC Motor, SAIC-GM-Wuling, Geely, and Toyota.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case study illustrates how we help OEMs build customer-centric interfaces and embrace the DTC sales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169545</wp:posOffset>
            </wp:positionV>
            <wp:extent cx="6998970" cy="4050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8970" cy="4050030"/>
                    </a:xfrm>
                    <a:prstGeom prst="rect">
                      <a:avLst/>
                    </a:prstGeom>
                    <a:noFill/>
                  </pic:spPr>
                </pic:pic>
              </a:graphicData>
            </a:graphic>
          </wp:anchor>
        </w:drawing>
      </w:r>
    </w:p>
    <w:p>
      <w:pPr>
        <w:spacing w:after="0" w:line="284" w:lineRule="exact"/>
        <w:rPr>
          <w:sz w:val="20"/>
          <w:szCs w:val="20"/>
          <w:color w:val="auto"/>
        </w:rPr>
      </w:pPr>
    </w:p>
    <w:p>
      <w:pPr>
        <w:ind w:left="460" w:right="440" w:firstLine="413"/>
        <w:spacing w:after="0" w:line="258" w:lineRule="auto"/>
        <w:rPr>
          <w:sz w:val="20"/>
          <w:szCs w:val="20"/>
          <w:color w:val="auto"/>
        </w:rPr>
      </w:pPr>
      <w:r>
        <w:rPr>
          <w:rFonts w:ascii="Times New Roman" w:cs="Times New Roman" w:eastAsia="Times New Roman" w:hAnsi="Times New Roman"/>
          <w:sz w:val="18"/>
          <w:szCs w:val="18"/>
          <w:i w:val="1"/>
          <w:iCs w:val="1"/>
          <w:color w:val="auto"/>
        </w:rPr>
        <w:t>As we recognized the enormous potential of mobile internet and data in empowering OEMs to engage with consumers through digital platforms, we developed Linglingbang- the predecessor of Ling Club-in collaboration with SAIC-GM-Wuling. This marked our initial foray into creating customer engagement solutions for OEMs. Our collaboration with SAIC-GM-Wuling was seamless and spanned various critical areas, including consulting, technology development, and product design and operations, laying a solid foundation for the subsequent success of Ling Club.</w:t>
      </w:r>
    </w:p>
    <w:p>
      <w:pPr>
        <w:spacing w:after="0" w:line="183" w:lineRule="exact"/>
        <w:rPr>
          <w:sz w:val="20"/>
          <w:szCs w:val="20"/>
          <w:color w:val="auto"/>
        </w:rPr>
      </w:pPr>
    </w:p>
    <w:p>
      <w:pPr>
        <w:ind w:left="460" w:right="480" w:firstLine="413"/>
        <w:spacing w:after="0" w:line="254" w:lineRule="auto"/>
        <w:rPr>
          <w:sz w:val="20"/>
          <w:szCs w:val="20"/>
          <w:color w:val="auto"/>
        </w:rPr>
      </w:pPr>
      <w:r>
        <w:rPr>
          <w:rFonts w:ascii="Times New Roman" w:cs="Times New Roman" w:eastAsia="Times New Roman" w:hAnsi="Times New Roman"/>
          <w:sz w:val="18"/>
          <w:szCs w:val="18"/>
          <w:i w:val="1"/>
          <w:iCs w:val="1"/>
          <w:color w:val="auto"/>
        </w:rPr>
        <w:t>Upon launch, Ling Club quickly emerged as the primary channel through which SAIC-GM-Wuling seamlessly interacts with end-consumers and potential car buyers. Within Ling Club, users can effortlessly purchase vehicles, customize car configurations, and even remotely control their vehicles. Over the years, Ling Club has evolved into an e-commerce hub where users can access a diverse range of after-sale support services and car-related merchandises. It has also become a vibrant user community where car enthusiasts connect, enhancing user loyalty to the SAIC-GM-Wuling brand. Ling Club has also proven beneficial to SAIC-GM-Wuling by creating new revenue streams, expanding its reach to a wide audience of end-consumers that would otherwise be challenging or costly to access, and accumulating valuable user and transaction data that informs its product and marketing decisions. Today, according to CIC, Ling Club has become one of China’s largest OEM-operated online vehicle sales and service platforms, boasting more than 14 million registered users. The remarkable success of Ling Club highlights our instrumental support in enabling OEMs’ transition to the DTC sales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Platform and Operating System—New Car Dealers and Brokers</w:t>
      </w:r>
    </w:p>
    <w:p>
      <w:pPr>
        <w:spacing w:after="0" w:line="117"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empower new car dealers and brokers with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xml:space="preserve">, a combination of a powerful SaaS-based operating system and a new car listing platform.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xml:space="preserve"> has maintained a market share of over 90% among new car brokers in 2022 and the first half of 2023, according to CIC.</w:t>
      </w:r>
    </w:p>
    <w:p>
      <w:pPr>
        <w:spacing w:after="0" w:line="15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Chehang 168 </w:t>
      </w:r>
      <w:r>
        <w:rPr>
          <w:rFonts w:ascii="Times New Roman" w:cs="Times New Roman" w:eastAsia="Times New Roman" w:hAnsi="Times New Roman"/>
          <w:sz w:val="18"/>
          <w:szCs w:val="18"/>
          <w:color w:val="auto"/>
        </w:rPr>
        <w:t>offers digitalization solutions tailored specifically to new car brokers, whose primary need is to secure the most suitable supply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optimal price, and to seize every potential sales opportunity with consumers. Therefore,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xml:space="preserve"> boasts the most efficient price-discovering online platform in the market with real-time, wholesale prices for over 90% of China’s new car models for sale, according to CIC.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xml:space="preserve"> also offers powerful CRM tools to help new car dealers and brokers effectively convert leads into sales.</w:t>
      </w:r>
    </w:p>
    <w:p>
      <w:pPr>
        <w:spacing w:after="0" w:line="180"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Many SME new car dealers and brokers also engage in used car sales. As a result, we intend to eventually integrate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i w:val="1"/>
          <w:iCs w:val="1"/>
          <w:color w:val="auto"/>
        </w:rPr>
        <w:t xml:space="preserve">DaFengChe </w:t>
      </w:r>
      <w:r>
        <w:rPr>
          <w:rFonts w:ascii="Times New Roman" w:cs="Times New Roman" w:eastAsia="Times New Roman" w:hAnsi="Times New Roman"/>
          <w:sz w:val="18"/>
          <w:szCs w:val="18"/>
          <w:color w:val="auto"/>
        </w:rPr>
        <w:t>for a more comprehensive and efficient service platform for SME new car dealers and brokers.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employ a “freemium” model for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where we offer most of the SaaS-based solutions and tools for free but charge a variable subscription fee for certain advanced functions and privileges.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Transaction Services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Delivery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delivery service to new car merchants, primarily OEMs, is aimed at offering the consumer-facing delivery infrastructure for DTC car sales.</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specialize in single car delivery, whether to a consumer’s home, an SME new car dealer or broker’s shop, or an OEM’s shopping mall storefront. For consumer-facing deliveries, we also offer “gift wrap” services with customized decorations and messages. As of June 30, 2023, our delivery service network is consisted of 77 “smart” warehouses nationwide, and over 3,900 logistics companies with 32,527 car-shipping trucks, serving 2,628 counties in all provinces in mainland China, except Xizang and Qinghai. OEMs can use our smart warehouses nationwide as distribution centers, i.e. the last stop before the vehicles are delivered to the end-consumers, which enhances their distribution and operating efficiency. The following pictures illustrate the “gift wrap” services that we offer and allow cars to be delivered with customized decorations and messages: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147955</wp:posOffset>
            </wp:positionV>
            <wp:extent cx="2691765" cy="26231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917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noteworthy that approximately 21,460 of our contracted car-shipping trucks are convertible tow trucks suitable for entering small streets of a neighborhood to deliver a single car to a consumer’s home. As of June 30, 2023, we are the largest single car delivery service provider in China, according to CIC. We do not own or operate any car-shipping trucks. The following picture illustrates the car-shipping trucks that we use for single car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142875</wp:posOffset>
            </wp:positionV>
            <wp:extent cx="2691765" cy="22542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9176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take pride in the integration of our warehousing and transportation capabilities. Our customers can track the entire process of a vehicle’s delivery, much like how they could track a parcel’s delivery status on e-commerce platforms like Taobao or JD.com, through our system. The following screenshot illustrates how our customers can track a parcel’s delivery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140335</wp:posOffset>
            </wp:positionV>
            <wp:extent cx="4946015" cy="21088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part of the synergy among our various service offerings, we intend to utilize our growing number of used car inspection stations, counting 455 inspection stations in 249 cities as of June 30, 2023, as delivery service stations as well for dispatch order, to further expand our nation-wide delivery service network.</w:t>
      </w:r>
    </w:p>
    <w:p>
      <w:pPr>
        <w:spacing w:after="0" w:line="176" w:lineRule="exact"/>
        <w:rPr>
          <w:sz w:val="20"/>
          <w:szCs w:val="20"/>
          <w:color w:val="auto"/>
        </w:rPr>
      </w:pPr>
    </w:p>
    <w:p>
      <w:pPr>
        <w:jc w:val="center"/>
        <w:ind w:left="780" w:right="100"/>
        <w:spacing w:after="0" w:line="454" w:lineRule="auto"/>
        <w:rPr>
          <w:sz w:val="20"/>
          <w:szCs w:val="20"/>
          <w:color w:val="auto"/>
        </w:rPr>
      </w:pPr>
      <w:r>
        <w:rPr>
          <w:rFonts w:ascii="Times New Roman" w:cs="Times New Roman" w:eastAsia="Times New Roman" w:hAnsi="Times New Roman"/>
          <w:sz w:val="18"/>
          <w:szCs w:val="18"/>
          <w:color w:val="auto"/>
        </w:rPr>
        <w:t>For our delivery services, we typically charge fees primarily based on transportation mileage, number of days in warehouse, and special requests. 188</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Marketing and Sales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also provide marketing and sales services to OEMs through influencer marketing and live-streaming promotion. We create captivating short videos and engaging content, featuring key opinion leaders (i.e., Internet influencers), or “KOLs”, on popular social media platforms. These carefully crafted videos serve as powerful tools for OEMs to promote their brands and vehicles to their desired audience.</w:t>
      </w:r>
    </w:p>
    <w:p>
      <w:pPr>
        <w:spacing w:after="0" w:line="17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collaboration with new car brokers on our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xml:space="preserve"> platform, we also provide live-streaming promotion for OEMs through our live-streaming centers. A large group of new car brokers can showcase the designated car models simultaneously through live streaming to a nationwide audience, often generating a buzz on the Internet and driving up consumer interest in the promoted car. We enable on-site sales of new cars at our live-streaming centers, which also serve as physical stores, as well as online sales via our nation-wide delivery services.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charge a fee for our marketing and sales services, the amount of which is based on the specific type of services provided.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Data Capabilities and Technologies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digitalizes operations and processes vast amounts of data on vehicles and dealer activities.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Traditionally, a significant portion of the transaction and operation processes are carried out offline and are not integrated. As a result, transaction data often got buried in isolated “information silos,” inhibiting seamless flow across the operational and vehicle transaction processes.</w:t>
      </w:r>
    </w:p>
    <w:p>
      <w:pPr>
        <w:spacing w:after="0" w:line="16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For the past decade, we have been at the forefront of digitalizing China’s used car industry, creating a comprehensive portfolio of unique services tailored to the diverse business needs of car dealers and OEMs. By establishing touchpoints with auto merchants throughout the vehicle transaction process, we have managed to break down these information silos, so that data generated across the vehicle transaction process can be integrated into a common set of sophisticated algorithms. This in turn allows us to produce valuable, actionable insights that our competitors—who only serve a fraction of the dealer operation and vehicle transaction process—cannot offer. By leveraging the most comprehensive data accumulated from our ecosystem, we help transform operational insights into effective commercial tools, empowering auto merchants in ways that were previously unimaginable before using our service offerings.</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operate a cutting-edge multi-tenant cloud-based system that serves as the foundation for our robust and scalable software platform. Built upon the latest cloud technologies, our platform is engineered for high scalability, reliability and performance, enabling us to deliver seamless and efficient services to our diverse customer bases.</w:t>
      </w:r>
    </w:p>
    <w:p>
      <w:pPr>
        <w:spacing w:after="0" w:line="79" w:lineRule="exact"/>
        <w:rPr>
          <w:sz w:val="20"/>
          <w:szCs w:val="20"/>
          <w:color w:val="auto"/>
        </w:rPr>
      </w:pPr>
    </w:p>
    <w:p>
      <w:pPr>
        <w:jc w:val="both"/>
        <w:ind w:left="1080" w:right="20" w:hanging="532"/>
        <w:spacing w:after="0" w:line="261"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Performance</w:t>
      </w:r>
      <w:r>
        <w:rPr>
          <w:rFonts w:ascii="Times New Roman" w:cs="Times New Roman" w:eastAsia="Times New Roman" w:hAnsi="Times New Roman"/>
          <w:sz w:val="18"/>
          <w:szCs w:val="18"/>
          <w:color w:val="auto"/>
        </w:rPr>
        <w:t>. Leveraging the power of cloud computing, we can provide exceptional speed and responsiveness to our users.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load balancing techniques, intelligent resource allocation, and efficient data processing algorithms, we optimize system performance to deliver rapid responses and minimal latency. Our platform is designed to handle substantial volumes of data and concurrent user requests, providing a smooth and seamless user experience.</w:t>
      </w:r>
    </w:p>
    <w:p>
      <w:pPr>
        <w:spacing w:after="0" w:line="85"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Reliability</w:t>
      </w:r>
      <w:r>
        <w:rPr>
          <w:rFonts w:ascii="Times New Roman" w:cs="Times New Roman" w:eastAsia="Times New Roman" w:hAnsi="Times New Roman"/>
          <w:sz w:val="18"/>
          <w:szCs w:val="18"/>
          <w:color w:val="auto"/>
        </w:rPr>
        <w:t>. Reliability is at the core of our platform. Powered by our high availability cloud infrastructure, we have implemented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automated failover mechanisms and redundant systems to ensure minimal downtime. As a result, our customers can rely on our platform’s availability, regardless of unexpected hardware failures or natural disasters. Our dedicated team of experts constantly monitor the platform through automated monitoring systems to identify and rectify potential issues before they can affect our customers.</w:t>
      </w:r>
    </w:p>
    <w:p>
      <w:pPr>
        <w:spacing w:after="0" w:line="85" w:lineRule="exact"/>
        <w:rPr>
          <w:rFonts w:ascii="Times New Roman" w:cs="Times New Roman" w:eastAsia="Times New Roman" w:hAnsi="Times New Roman"/>
          <w:sz w:val="18"/>
          <w:szCs w:val="18"/>
          <w:color w:val="auto"/>
        </w:rPr>
      </w:pPr>
    </w:p>
    <w:p>
      <w:pPr>
        <w:ind w:left="1080" w:right="20" w:hanging="532"/>
        <w:spacing w:after="0" w:line="284"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Scalability</w:t>
      </w:r>
      <w:r>
        <w:rPr>
          <w:rFonts w:ascii="Times New Roman" w:cs="Times New Roman" w:eastAsia="Times New Roman" w:hAnsi="Times New Roman"/>
          <w:sz w:val="18"/>
          <w:szCs w:val="18"/>
          <w:color w:val="auto"/>
        </w:rPr>
        <w:t>. Our platform is designed to accommodate the growth and evolving needs of our customers. By leveraging the cloud’s elastic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capabilities, we can dynamically allocate resources based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on demand, ensuring optimal performance and responsiveness even during peak usage periods. This scalability empowers our customers to expand their operations without worrying about infrastructure limitations, allowing them to focus on their core business objectives.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consider ourselves pioneers in driving the digitalization of China’s automotive industry, harnessing the potential of our vast database and core technologies. We believe we are empowered by our application of technologies, including:</w:t>
      </w:r>
    </w:p>
    <w:p>
      <w:pPr>
        <w:spacing w:after="0" w:line="65" w:lineRule="exact"/>
        <w:rPr>
          <w:sz w:val="20"/>
          <w:szCs w:val="20"/>
          <w:color w:val="auto"/>
        </w:rPr>
      </w:pPr>
    </w:p>
    <w:p>
      <w:pPr>
        <w:jc w:val="both"/>
        <w:ind w:left="1080" w:hanging="532"/>
        <w:spacing w:after="0" w:line="258"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Data-driven matching capabilities</w:t>
      </w:r>
      <w:r>
        <w:rPr>
          <w:rFonts w:ascii="Times New Roman" w:cs="Times New Roman" w:eastAsia="Times New Roman" w:hAnsi="Times New Roman"/>
          <w:sz w:val="18"/>
          <w:szCs w:val="18"/>
          <w:color w:val="auto"/>
        </w:rPr>
        <w:t>. Our proprietary AI and data-driven analytics algorithms enable us to match dealers intelligently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accurately with vehicles that meet their needs. Over the years, we have developed a vast and comprehensive database of new and used vehicles, including basic vehicle information provided by users of our online platform, as well as a vast amount of user behavior, transactional, and industry data from our own and third-party platforms. This data provides us with valuable insights, creates a high barrier to entry for potential competitors, and gives us a significant competitive advantage.</w:t>
      </w:r>
    </w:p>
    <w:p>
      <w:pPr>
        <w:spacing w:after="0" w:line="88"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Price-discovering model</w:t>
      </w:r>
      <w:r>
        <w:rPr>
          <w:rFonts w:ascii="Times New Roman" w:cs="Times New Roman" w:eastAsia="Times New Roman" w:hAnsi="Times New Roman"/>
          <w:sz w:val="18"/>
          <w:szCs w:val="18"/>
          <w:color w:val="auto"/>
        </w:rPr>
        <w:t>. Our ability to accurately price transacted vehicles is one of the core strengths of our technology system.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proprietary AI and a machine learning-based price-discovering model. Our pricing-discovering model analyzes transaction records to characterize car dealers based on their price preferences. Our dynamic pricing is based on various factors, such as model, age, mileage, accident history, location and vehicle and market conditions, information about all of which are available on our platform. The price-discovering model helps increase vehicle transaction rates and user engagement with our platform.</w:t>
      </w:r>
    </w:p>
    <w:p>
      <w:pPr>
        <w:spacing w:after="0" w:line="88"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Automatic inspection system</w:t>
      </w:r>
      <w:r>
        <w:rPr>
          <w:rFonts w:ascii="Times New Roman" w:cs="Times New Roman" w:eastAsia="Times New Roman" w:hAnsi="Times New Roman"/>
          <w:sz w:val="18"/>
          <w:szCs w:val="18"/>
          <w:color w:val="auto"/>
        </w:rPr>
        <w:t>. Our self-developed automatic vehicle inspection system has digitalized and standardized the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process to reduce the risks of human error. We use AI and machine-learning technology to automatically detect car defects and mechanical faults. Leveraging our massive database and big data analytics capability, our automatic inspection system provides comprehensive and trustful inspection results.</w:t>
      </w:r>
    </w:p>
    <w:p>
      <w:pPr>
        <w:spacing w:after="0" w:line="8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Digital operation, sales and marketing tools</w:t>
      </w:r>
      <w:r>
        <w:rPr>
          <w:rFonts w:ascii="Times New Roman" w:cs="Times New Roman" w:eastAsia="Times New Roman" w:hAnsi="Times New Roman"/>
          <w:sz w:val="18"/>
          <w:szCs w:val="18"/>
          <w:color w:val="auto"/>
        </w:rPr>
        <w:t>. We offer a variety of purpose-built applications, tools and systems tailored for dealers’ needs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enable car dealers to streamline and efficiently manage each aspect of their business. We create digital tools with APIs linked to social media platforms to help customers attract traffic from third-party marketplaces. By implanting the same SDKs across different mobile applications, we synchronize car data and resources on our platforms to facilitate single application-based transaction scenarios. We also constantly iterate these digital solutions and tools to meet the evolving needs of our customers.</w:t>
      </w:r>
    </w:p>
    <w:p>
      <w:pPr>
        <w:spacing w:after="0" w:line="18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data security is critical to our business operation. To safeguard sensitive information, we have implemented comprehensive internal rules and policies that dictate the appropriate use and sharing of such data. Additionally, we have established a robust suite of protocols, technologies, and systems to ensure that personal information remains protected and is not accessed or disclosed improperly. Our platforms adhere to privacy policies that guide our practices regarding the collection, use, sharing, and protection of users’ personal information. These policies outline the types of personal information we collect, how we utilize and safeguard it, and users’ privacy rights in accordance with applicable laws. Prior to using our services, all users are required to acknowledge and agree to the terms and conditions outlined in the user agreement and our privacy policies.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From an internal policy perspective, we have implemented a comprehensive suite of platform-wide policies and procedures to govern our data security and privacy protection practices:</w:t>
      </w:r>
    </w:p>
    <w:p>
      <w:pPr>
        <w:spacing w:after="0" w:line="65" w:lineRule="exact"/>
        <w:rPr>
          <w:sz w:val="20"/>
          <w:szCs w:val="20"/>
          <w:color w:val="auto"/>
        </w:rPr>
      </w:pPr>
    </w:p>
    <w:p>
      <w:pPr>
        <w:jc w:val="both"/>
        <w:ind w:left="1080" w:right="20" w:hanging="532"/>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Data Collection</w:t>
      </w:r>
      <w:r>
        <w:rPr>
          <w:rFonts w:ascii="Times New Roman" w:cs="Times New Roman" w:eastAsia="Times New Roman" w:hAnsi="Times New Roman"/>
          <w:sz w:val="18"/>
          <w:szCs w:val="18"/>
          <w:color w:val="auto"/>
        </w:rPr>
        <w:t>. We collect user data only to the extent necessary for our product functions and services upon receipt of the consent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users. For example, we collect certain basic information for user account registration and verification purposes. We will notify users of the types of personal information we collect, our purpose of processing personal information, usage and protection of user data, and users’ rights, among other things.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080" w:hanging="532"/>
        <w:spacing w:after="0" w:line="267"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Data Usage</w:t>
      </w:r>
      <w:r>
        <w:rPr>
          <w:rFonts w:ascii="Times New Roman" w:cs="Times New Roman" w:eastAsia="Times New Roman" w:hAnsi="Times New Roman"/>
          <w:sz w:val="18"/>
          <w:szCs w:val="18"/>
          <w:color w:val="auto"/>
        </w:rPr>
        <w:t>. We fully disclose the usage of personal information and data that we collect from users in our privacy policies. If we need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the personal information and data for purposes other than as disclosed in the privacy policies, we will notify the users and seek their explicit consent before we proceed.</w:t>
      </w:r>
    </w:p>
    <w:p>
      <w:pPr>
        <w:spacing w:after="0" w:line="78"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Data Access</w:t>
      </w:r>
      <w:r>
        <w:rPr>
          <w:rFonts w:ascii="Times New Roman" w:cs="Times New Roman" w:eastAsia="Times New Roman" w:hAnsi="Times New Roman"/>
          <w:sz w:val="18"/>
          <w:szCs w:val="18"/>
          <w:color w:val="auto"/>
        </w:rPr>
        <w:t>. We limit access to our servers that store our user and internal data on a “need-to-know” basis. We also adopt various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measures, such as data encryption, to ensure the secured storage and transmission of data, and prevent any unauthorized member of the public or third parties from accessing or using our data in any unauthorized manner. Furthermore, we implement data de-identification and data masking of user data for the purpose of fending off potential hacking or security attacks. In addition, we have adopted an incident response plan, which provides a well-defined, organized approach for handling any potential threat to servers and data, as well as taking appropriate actions when the data breach concerns personal information. We provide group-wide regular trainings to our employees that focus on cybersecurity and data privacy awareness topics critical to our business operations, including the best practices to protect data from loss, modification, leakage, or theft.</w:t>
      </w:r>
    </w:p>
    <w:p>
      <w:pPr>
        <w:spacing w:after="0" w:line="90" w:lineRule="exact"/>
        <w:rPr>
          <w:rFonts w:ascii="Times New Roman" w:cs="Times New Roman" w:eastAsia="Times New Roman" w:hAnsi="Times New Roman"/>
          <w:sz w:val="18"/>
          <w:szCs w:val="18"/>
          <w:color w:val="auto"/>
        </w:rPr>
      </w:pPr>
    </w:p>
    <w:p>
      <w:pPr>
        <w:jc w:val="both"/>
        <w:ind w:left="1080" w:right="20" w:hanging="532"/>
        <w:spacing w:after="0" w:line="267"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Data Storage and Retention</w:t>
      </w:r>
      <w:r>
        <w:rPr>
          <w:rFonts w:ascii="Times New Roman" w:cs="Times New Roman" w:eastAsia="Times New Roman" w:hAnsi="Times New Roman"/>
          <w:sz w:val="18"/>
          <w:szCs w:val="18"/>
          <w:color w:val="auto"/>
        </w:rPr>
        <w:t>. We require that personal information and data we collect in China be stored and preserved within China.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only retain user data for as long as necessary to fulfill the purposes for which it was processed as stated in our privacy policies, or as required by applicable laws and regulations.</w:t>
      </w:r>
    </w:p>
    <w:p>
      <w:pPr>
        <w:spacing w:after="0" w:line="78"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Data Transmission</w:t>
      </w:r>
      <w:r>
        <w:rPr>
          <w:rFonts w:ascii="Times New Roman" w:cs="Times New Roman" w:eastAsia="Times New Roman" w:hAnsi="Times New Roman"/>
          <w:sz w:val="18"/>
          <w:szCs w:val="18"/>
          <w:color w:val="auto"/>
        </w:rPr>
        <w:t>. We do not transfer our user data to third parties unless we have obtained explicit consent from the users themselves,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such transmission is essential for the provision of our service offerings to users. We take precautionary measures to ensure the integrity and security of data in transit to our business partners. These measures may include (i) requiring our business partners to handle the personal information and data we transmit in accordance with our standards, requirements and protocols, including providing the same level of protection; (ii) requiring our business partners to deliver written confidentiality undertakings before any data is transmitted;</w:t>
      </w:r>
    </w:p>
    <w:p>
      <w:pPr>
        <w:ind w:left="1080" w:right="20" w:firstLine="8"/>
        <w:spacing w:after="0" w:line="260" w:lineRule="auto"/>
        <w:tabs>
          <w:tab w:leader="none" w:pos="140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internal approval from the personnel in charge of data security; (iv) requiring our business partners to return or delete the personal information and data that we transmitted after the termination of services; and (v) preserving the review log for future inspection.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sales and marketing efforts differ depending on the market acceptance stage of our service offerings and the nature of our customers.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service offerings for which we have achieved a towering market share and are widely recognized and favored in the industry, such as digitalization solutions for used car dealers and new car brokers, we attract new users primarily through word-of-mouth referrals.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service offerings we recently introduced to the market, such as many of our transaction services to used car dealers, we invest in business development efforts through a team of marketing personnel. Once we move beyond the early phase of these transaction services, we expect to reduce our marketing efforts and rely more on the synergistic support from our digital infrastructure.</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utilize business development personnel to promote services to OEMs as these services are generally large in volume and amount, and our engagements are generally contract based.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operate in a quickly evolving and highly competitive market, and we expect competition to intensify in the future. We believe the principal competitive factors in our market are:</w:t>
      </w:r>
    </w:p>
    <w:p>
      <w:pPr>
        <w:spacing w:after="0" w:line="67" w:lineRule="exact"/>
        <w:rPr>
          <w:sz w:val="20"/>
          <w:szCs w:val="20"/>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network among auto merchants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work flow for each auto merchant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conflict of interest with auto merchants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service offerings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ownership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reputation and trustworthiness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compete favorably against our current and future competitors on this factors.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the leading provider of digitalization solutions to SME car dealers in China. Even though some competitors may offer products that overlap with certain functions and features of our service offerings, we do not believe that any competitor offers digital solutions and transaction services with comparable scale and functionalities to ours. Our competitors primarily include other providers of transaction services for car dealers and OEMs, most of whom operate on small scales in local markets. For more information about the market in which we operate, see “Industry.”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recognize the importance of environmental, social, and governance (ESG) factors in driving sustainable growth and creating long-term value for our stakeholders. Therefore, we strive to continuously guide our operations and initiatives with principles of sustainable development.</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Environmental sustainability is a key focus of our ESG strategy. As a pioneer in driving the digital transformation of auto commerce in China, the nature of our services is inherently environmentally friendly. For example, our digitalization solutions significantly reduces the need for paper documentation, thereby reducing the environmental impact associated with paper production and disposal. Operating digitally typically consumes less energy compared to traditional manual processes, contributing to lower energy consumption and a smaller carbon footprint. By streamlining car dealers’ operations, we can help optimize vehicle inventory management, reducing the need for excessive transport or storage of vehicles, which can contribute to lower greenhouse gas emissions. We are also committed to minimizing our environmental impact by reducing our carbon footprint, conserving natural resources, and promoting sustainable practices throughout our business operations. To achieve these goals, we have implemented a range of initiatives, such as reducing paper usage, optimizing our logistics operations, and using energy-efficient technology.</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also prioritize social responsibility and strive to make a positive impact on the communities in which we operate. We help car dealers across China, most of which are SMEs, increase their earnings potential by connecting them with car sources and buyers across the country in a cost-efficient manner. Our platform also promotes a healthy community of auto commerce in China with rules to protect the interests of honest market players. We believe in creating a diverse and inclusive workplace that fosters innovation and creativity. We support our employees by providing them with training and development opportunities, as well as ensuring their health and safety in the workplace.</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committed to maintaining high standards of corporate governance and ethical conduct. We believe that transparent and accountable governance practices are essential to building trust with our stakeholders and ensuring the long-term success of our business. To this end, we have established policies and procedures to ensure compliance with relevant laws and regulations, as well as to promote ethical behavior and integrity throughout our organization.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recognize the impact of the COVID-19 pandemic on individuals, communities, and businesses worldwide and are committed to supporting the relief efforts to combat the pandemic and help those affected by it. We have made financial donations to local hospitals and medical institutions. We have also donated medical supplies, including masks, gloves, and other personal protective equipment, to these organizations to support their efforts in combating the pandemic. In addition, as part of our initiatives to support the COVID-19 relief campaign, we offered more flexible payment terms to some of our customers and suppliers to help alleviate their cash flow problems that may have arisen due to the pandemic.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material intellectual property consists of approximately 36 trademarks relating to our main brands and services. These intellectual property rights are registered in China. Under the PRC laws, such registrations are valid for ten years from the date of filing the application, and are renewable for additional periods of ten years.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regard our trademarks, copyrights, domain names, trade secrets and other intellectual property rights as critical to our business. We rely on a combination of copyright and trademark law, trade secret protection and confidentiality agreements with our employees, business partners and others, to protect our intellectual property rights. In particular, we protect our intellectual properties, including trademarks for our brand names and patents, primarily through the following measures: (i) we timely apply for registration of trademarks and patents for our brand and products in jurisdictions where we operate as well as in other targeted markets, and (ii) we continuously monitor third parties’ infringements of our intellectual property rights, including our brand names, trademarks, and patents, and file claims with market regulation authorities and bring intellectual property infringement lawsuits to protect our rights.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intellectual property is subject to risks of theft and other unauthorized use, and our ability to protect our intellectual property from unauthorized use is limited. In addition, we may be subject to claims that we have infringed the intellectual property rights of others. See “Risk Factors —Risks Related to Our Business and Industry—We may be unable to adequately protect, and may incur significant costs in defending, our intellectual property and other proprietary rights, which could negatively impact on our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had a total of 1,923 employees as of June 30, 2023. All our employees are based in China.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numbers of our employees categorized by function as of June 30, 2023.</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0"/>
        </w:trPr>
        <w:tc>
          <w:tcPr>
            <w:tcW w:w="4380" w:type="dxa"/>
            <w:vAlign w:val="bottom"/>
            <w:gridSpan w:val="2"/>
            <w:vMerge w:val="continue"/>
          </w:tcPr>
          <w:p>
            <w:pPr>
              <w:spacing w:after="0"/>
              <w:rPr>
                <w:sz w:val="16"/>
                <w:szCs w:val="16"/>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4360" w:type="dxa"/>
            <w:vAlign w:val="bottom"/>
          </w:tcPr>
          <w:p>
            <w:pPr>
              <w:spacing w:after="0"/>
              <w:rPr>
                <w:sz w:val="4"/>
                <w:szCs w:val="4"/>
                <w:color w:val="auto"/>
              </w:rPr>
            </w:pPr>
          </w:p>
        </w:tc>
        <w:tc>
          <w:tcPr>
            <w:tcW w:w="3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Administration</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recruit and directly train and manage all our employees. We believe that we maintain a good working relationship with our employees, and we have not experienced any significant labor disputes. Our employees have not entered into any collective bargaining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that we are covered by adequate property and liability insurance policies with coverage features and insured limits we believe are customary for similar companies in China. If we were held liable for amounts and claims exceeding the limits of our insurance coverage or outside the scope of our insurance coverage,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business, results of operations and financial condition may be materially and adversely affected. See “Risk Factors—Risks Related to Our Business and Industry—Our insurance may not provide adequate levels of coverage against claims.”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maintain a number of leased properties. We lease 4,737.26 square meters of office space in Beijing, 180 square meters of office space in Shanghai and 5,738.43 square meters of office space in Hangzhou, Zhejiang Province, primarily for corporate administration and research and development. In addition, we lease 275,604 square meters of warehouses located in 77 cities across the country to operate our delivery services.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add new properties or expand our existing properties as we scale up our business operation. We believe that suitable additional or alternative space will be available in the future on commercially reasonable terms to accommodate our foreseeable future expansion.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are subject to legal or administrative proceedings from time to time. We do not believe that any currently pending legal or administrative proceeding to which we are a party will have a material adverse effect on our business, financial condition or results of operations. See “Risk Factors—Risks Related to Our Business and Industry—We, and our directors and officers, may be involved in legal and/or regulatory proceedings that are expensive and time consuming and, if resolved adversely, that may materially adversely affect 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7"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PRC laws and regulations relevant to our business and operations in the PRC and the key provisions of such laws and regulations.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Foreign Investment</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15, 2019, the NPC approved the Foreign Investment Law and on December 26, 2019, the State Council published the Implementation Rules of the Foreign Investment Law, both of which went into effect on January 1, 2020 and replaced three existing laws on foreign investments in China, namely, the PRC Equity Joint Venture Law, the PRC Cooperative Joint Venture Law and the Wholly Foreign-owned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Foreign Investment Law establishes the basic framework for the access to, and the promotion, protection and administration of foreign investments in view of investment protection and fair competition.</w:t>
      </w:r>
    </w:p>
    <w:p>
      <w:pPr>
        <w:spacing w:after="0" w:line="18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According to the Foreign Investment Law, “foreign investment” refers to investment activities directly or indirectly conducted by one or more natural persons, business entities, or otherwise organizations of a foreign country (collectively referred to as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like rights and interests of an enterprise within China; (iii) a foreign investor, individually or collectively with other investors, invests in a new project within China; and (iv) investments in other means as provided by laws, administrative regulations, or the State Council.</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According to the Foreign Investment Law, the State Council shall publish or approve to publish a negative list stipulating the special management measures for the access of foreign investment in certain industries, or the “negative list.” The Foreign Investment Law grants national treatment to foreign-invested entities, except for those foreign-invested entities that operate in industries deemed to be either “restricted” or “prohibited” in the “negative list.” The Foreign Investment Law provides that foreign investors shall not invest in the “prohibited” industries, and shall meet certain conditions stipulated under the “negative list” for making investment in “restricted” industries. The currently effective “negative list” is the Special Management Measures (Negative List) for the Access of Foreign Investment (2021 version), or the 2021 Negative List, jointly published by the National Development and Reform Committee, or NDRC and the MOFCOM on December 27, 2021 and went into effect on January 1, 2022.</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26, 2019, the Supreme People’s Court published the Interpretation of the Supreme People’s Court on Several Issues concerning the Application of the Foreign Investment Law of the People’s Republic of China, which went into effect on January 1, 2020, pursuant to which the court shall rule in favor of the party claim the invalidity of the investment agreement with respect to foreign investment in the “restricted” industry under the “negative list” or foreign investment in the “restricted” industry under the “negative list” that fails to comply with the requirements unless necessary mitigating measures are taken before the ruling.</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Foreign Investment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December 30, 2019, the MOFCOM and the SAMR jointly promulgated the Measures for Information Reporting on Foreign Investment, which became effective on January 1, 2020. Pursuant to the Measures for Information Reporting on Foreign Investment, where a foreign investor carries out investment activities in China directly or indirectly, the foreign investor or the foreign-invested enterprise shall submit the investment information to the competent commerce department.</w:t>
      </w:r>
    </w:p>
    <w:p>
      <w:pPr>
        <w:spacing w:after="0" w:line="180"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On December 19, 2020, the NDRC and the MOFCOM jointly promulgated the Measures for the Security Review of Foreign Investment, which became effective on January 18, 2021, the NDRC and the MOFCOM will establish a working mechanism office in charge of the security review of foreign investment. Such measures define foreign investment as direct or indirect investment by foreign investors in the PRC, which includes</w:t>
      </w:r>
    </w:p>
    <w:p>
      <w:pPr>
        <w:spacing w:after="0" w:line="1" w:lineRule="exact"/>
        <w:rPr>
          <w:sz w:val="20"/>
          <w:szCs w:val="20"/>
          <w:color w:val="auto"/>
        </w:rPr>
      </w:pPr>
    </w:p>
    <w:p>
      <w:pPr>
        <w:ind w:left="380" w:hanging="264"/>
        <w:spacing w:after="0"/>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new onshore projects or establishment of wholly foreign owned onshore companies or joint ventures with foreign investors;</w:t>
      </w:r>
    </w:p>
    <w:p>
      <w:pPr>
        <w:spacing w:after="0" w:line="9" w:lineRule="exact"/>
        <w:rPr>
          <w:rFonts w:ascii="Times New Roman" w:cs="Times New Roman" w:eastAsia="Times New Roman" w:hAnsi="Times New Roman"/>
          <w:sz w:val="18"/>
          <w:szCs w:val="18"/>
          <w:color w:val="auto"/>
        </w:rPr>
      </w:pPr>
    </w:p>
    <w:p>
      <w:pPr>
        <w:jc w:val="both"/>
        <w:ind w:left="120" w:hanging="4"/>
        <w:spacing w:after="0" w:line="251" w:lineRule="auto"/>
        <w:tabs>
          <w:tab w:leader="none" w:pos="4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 of equity or asset of onshore companies by merger and acquisition; and (iii) onshore investment by and through any other means. Investment in certain key areas with bearing on national security, such as important cultural products and services, important information technology and internet services and products, key technologies and other important areas with bearing on national security which results in the acquisition of de facto control of investee companies, shall be filed with a specifically established office before such investment is carried out. What may constitute “onshore investment by and through any other means” or “ASC Topic 326” could be broadly interpreted under such measures. It is likely that control through contractual arrangement be regarded as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control based on provisions applied to security review of foreign investment in the free trade zone. Failure to make such filing may subject such foreign investor to rectification within prescribed period, and will be recorded as negative credit information of such foreign investor in the relevant national credit information system, which would then subject such investors to joint punishment as provided by relevant rules. If such investor fails to or refuses to undertake such rectification, it would be ordered to dispose of the equity or asset and to take any other necessary measures so as to return to the status quo and to erase the impact to national security.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Value-added Telecommunications Services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25, 2000, the State Council issued the Regulations on Telecommunications of the PRC, or the Telecommunications Regulations, as last amended on February 6, 2016, to regulate telecommunications activities in China. The Telecommunications Regulations divided the telecommunications services into two categories, namely “infrastructure telecommunications services” and “value-added telecommunications services.” Pursuant to the Telecommunications Regulations, operators of value-added telecommunications services, or VATS, must first obtain a Value-added Telecommunications Business Operating License, or VATS License, from the Ministry of Industry and Information Technology, or the MIIT, or its provincial level counterparts. On July 3, 2017, the MIIT promulgated the Administrative Measures on Telecommunications Business Permits, which set forth more specific provisions regarding the types of licenses required to operate VATS, the qualifications and procedures for obtaining such licenses and the administration and supervision of such licenses. The Classified Catalog of Telecommunications Services (2015 Version), or the 2016 MIIT Catalog, which took effect on March 1, 2016, and amended on June 6, 2019, identifies Internet information services and online data processing and transaction processing as sub-categories of VATS.</w:t>
      </w:r>
    </w:p>
    <w:p>
      <w:pPr>
        <w:spacing w:after="0" w:line="19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Foreign direct investment in telecommunications companies in China is regulated by the Administrative Provisions on Foreign-Invested Telecommunications Enterprises, or the FITE Regulation, which was issued by the State Council on December 11, 2001, last amended in March 2022 and became effective on May 1, 2022. The FITE Regulation stipulates that a foreign-invested telecommunications enterprise in the PRC, or the FITE, must be established as a sino-foreign equity joint venture for operations in the PRC. Under the FITE Regulation,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3" w:lineRule="auto"/>
        <w:rPr>
          <w:sz w:val="20"/>
          <w:szCs w:val="20"/>
          <w:color w:val="auto"/>
        </w:rPr>
      </w:pPr>
      <w:r>
        <w:rPr>
          <w:rFonts w:ascii="Times New Roman" w:cs="Times New Roman" w:eastAsia="Times New Roman" w:hAnsi="Times New Roman"/>
          <w:sz w:val="18"/>
          <w:szCs w:val="18"/>
          <w:color w:val="auto"/>
        </w:rPr>
        <w:t>subject to WTO-related agreements, the foreign party investing in a FITE engaging in VATS may hold up to 50% of the ultimate equity interests of the FITE. Furthermore, the foreign party investing in e-commerce business, as a type of value-added telecommunications services (falling in the sub-category of online data processing and transaction processing), has been allowed to hold up to 100% of the equity interests of the FITE based on the Circular of the Ministry of Industry and Information Technology on Removing the Restrictions on Shareholding Ratio Held by Foreign Investors in Online Data Processing and Transaction Processing (Operating E-commerce) Business issued on June 19, 2015 and the Negative List. In addition to the Telecommunications Regulations and the other regulations discussed above, the provision of commercial internet information services on mobile internet applications is regulated by the Administrative Provisions on Mobile Internet Applications Information Services, which was promulgated by Cyberspace Administration of China on June 28, 2016 and came into effect on August 1, 2016 amended in June 2022 and became effective on August 1, 2022. The providers of mobile internet applications are subject to requirements under these provisions, including acquiring the qualifications and complying with other requirements provided by laws and regulations and being responsible for information security.</w:t>
      </w:r>
    </w:p>
    <w:p>
      <w:pPr>
        <w:spacing w:after="0" w:line="19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31, 2021, the CAC and other relevant regulatory authorities jointly promulgated the Administrative Provisions on Internet Information Service Algorithm Recommendation, which became effective on March 1, 2022. The Administrative Provisions on Internet Information Service Algorithm Recommendation stipulates that algorithm recommendation service providers with public opinion attributes or social mobilization capabilities shall submit the relevant information for filing, provide users with options either to adjust algorithmic recommendation services not to target on their personal characteristics or to conveniently shut down algorithmic recommendation services, and shall not set up algorithm models against any applicable laws, regulations and social norms.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Used Automobile Trading</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August 29, 2005, the State Administration of Tax, or SAT, SAIC, the MOFCOM and the Ministry of Public Security, or the MPS, jointly promulgated the Measures for the Administration of the Trading of Used Automobiles, or the Used Automobile Trading Measures, which became effective on October 1, 2005 and further revised on September 14, 2017. Pursuant to the Used Automobile Trading Measures, (i) only an enterprise legal person duly registered with the SAIC or its local branches may engage in used automobile trading as an operator of used automobiles markets, as a retailer, or as a brokerage entity; (ii) the operator of used automobiles markets and the operational subject of used automobiles shall file with the provincial departments of commerce within two months after obtaining the business license and (iii) the establishment of an auction enterprise of used automobiles shall comply with the relevant provisions of the Auction Law of PRC and the Measures for the Administration of Auction.</w:t>
      </w:r>
    </w:p>
    <w:p>
      <w:pPr>
        <w:spacing w:after="0" w:line="18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Used Automobile Trading Measures, a seller of used automobiles must verify certain background information regarding the automobiles for sale. Used automobile retailers shall also provide quality guarantees as well as after-sales services. Used automobiles are prohibited from being resold under certain circumstances such as where such used automobiles have been discarded or required to be discarded, or obtained by illegal means, such as theft, robbery or fraud. On March 24, 2006, the MOFCOM promulgated the Specifications for Used Automobile Trade with immediate effect, which set forth detailed criteria and requirements for the purchase, sale, auction, evaluation, trading and post-sale services of used automobiles.</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June 8, 2016, the General Offices of 11 Departments including the MOFCOM promulgated the Circular on Facilitating the Trading of Used Automobile and Accelerating the Activation of Used Automobile Market with immediate effect, for the purpose of effectively implementing Several Opinions of the State Council on Facilitating the Trading of Used Automobile which promulgated on March 14, 2016 by the State Council with immediate effect, which set forth the measures to accelerate and facilitate the off-site trading, taxation and registration of used automobiles.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On April 7, 2021, the MOFCOM, the MPS and the SAT promulgated the Circular on Facilitating the Trans-provincial Registration of Used Automobiles Transactions and the Cross-regional Transactions of Used Automobiles, which lifted the restriction on the location of registration of the small-sized non-operational passenger vehicles transactions and further stipulates the requirements of record keeping and verification of the used automobiles information.</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18, 2022, the General Offices of seven Departments including the NDRC promulgated the Implementation Plan for Promoting Green Consumption with immediate effect, which set forth the comprehensive promotion of green transformation in key consumption areas and specifically stipulates the expansion of the distribution of used automobiles and promotes the policies to remove the restrictions on the distribution of used automobiles.</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September 6, 2022, the MOFCOM and the MPS jointly promulgated the Circular on Improving the Filing of Used Automobiles Market Entities and The Administration of Automobiles Transactions Registration, for the purpose of effectively implementing the Circular on Measures to Enliven Automobile Trading and Expand Automobile Consumption promulgated by the General Offices of 17 Department including the MOFCOM on July 5, 2022 with immediate effect, which set forth the measures to activate used automobiles markets and remove unreasonable restrictions on the distribution of used automobiles.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Automobile Sales</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April 5, 2017, the MOFCOM promulgated the Measures on the Administrations of Automobile Sales, or the Measures on Automobile Sales, which took effect on July 1, 2017 and replaced the original Branded Automobile Sales Measures promulgated in 2005. According to the Measures on Sales of Automobile, the supplier takes the way of selling the vehicle to the dealer, and the authorization term (excluding the shop construction term) shall not be less than 3 years, and the first authorization term shall not be less than 5 years. An independent automobile seller who sells an automobile without authorization from a supplier or an automobile which is not authorized to be sold by an automobile manufacturer outside the country shall provide a reminder and explanation to the consumer in writing and inform the consumer of the relevant responsibility in writing. When a dealer or an independent automobile seller sells the car to the consumer, it shall verify the identification of the registered consumer, sign the sales contract, and issue the sales invoice. The Measures on Sales of Automobile further provides that a supplier shall not require its dealers to have sales, after-sales service and other functions at the same time, shall not restrict its dealers’ operations of goods of other suppliers, and shall not restrict the dealers from providing parts or other after- sales services for automobiles of other suppliers. Except as otherwise agreed by the parties, a supplier shall not sell automobiles directly to consumers in the area where its dealer is authorized to sell. As regards to information recording, the Measures on Sales of Automobile requires the suppliers or the dealers and independent automobile sellers to file their basic information at the State Council department in charge of the national automobile circulation information management system within 90 days after obtaining their respective business license. If the basic information of a supplier, a dealer or an independent automobile seller is changed, it shall complete the updated filing within 30 days from the date of the change. The basic information of the supplier, the dealer or the independent automobile seller, if it is established before the Measures, should be filed within 90 days from the date that the Measures took effect. The file of automobile sales, users and other information shall be kept by the dealer and independent automobile seller for no less than 10 years. Violation of such regulations may result in penalties or warnings or being ordered to make corrections.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Auction Business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On April 24, 2015, Auction Law of the People’s Republic of China, or the Auction Law, was promulgated by the SCNPC for the purpose of regulating and administrating the business operation of auction. The MOFCOM further promulgated the Measures for the Administration of Auctions on November 30, 2019 to effectively implementing the Auction Law. Pursuant to the Auction Law, “auction” refers to a way of selling particular goods or property rights to the bidder who offers the highest price in the form of public bidding. According to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Used Automobile Trading Measures, “used car auction” refers to the business activities whereby a used car auction enterprise transfers a used car to a bidder that offers the highest price through public bidding. According to The Specifications for Used Cars Transaction, which was promulgated by the MOFCOM and became effective on March 24, 2006, where an auction is conducted through the internet, the color photo of the car and information of auctioned car shall be published on internet. The publication period shall not be less than seven days. An enterprise engaging in activities of auction should undergo the review and approval procedure with relevant government authority and obtain the license for auction business. Any entity engaging in the auction business without the license may be subject to enforcement action, including orders issued by the relevant regulatory authorities to cease the auction business, confiscation of any illegal gains, or imposition of fines.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Inspection and certification Agencies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According to the Measures for the Administration of the Trading of Used Automobiles, which was promulgated on August 29, 2005 and took effective on October 1, 2005, those who establish a used automobiles appraisal and assessment agencies shall apply to the local commerce regulatory authorities at the provincial level for the Approval Certificate of Used Automobiles Appraisal and Assessment Agencies.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According to the Decision of the State Council on the Second Batch of Canceling Local Governments’ Administrative Approval Items Designated by the Central Government, which was released by the State Council and implemented on February 3, 2016, the State Council canceled the administrative approval items of automobiles appraisal and assessment agencies, and enterprises engaged in used automobiles appraisal and assessment do not need to apply for the Approval Certificate of Used Automobiles Appraisal and Assessment Agencies any more.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Road Transportations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According to the Regulations on Road Transportation of the PRC promulgated by the State Council on April 30, 2004 and most recently amended on July 20, 2023, and the Provisions on Administration of Road Freight Transportation and Stations issued by the MOT on June 16, 2005 and last amended on September 26. 2022, enterprise that engaged in freight transportation business shall obtain the Road Transportation Operation Permit and conduct freight transportation business within the scope of the Road Transportation Operation Permit. Enterprise engaged in freight transportation business in the absence of such permits shall be ordered to stop operation by competent road transportation authorities and be subject to administrative penalty.</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6, 2019, the MOT and the SAT, jointly issued the Interim Measures for Administration of Road Freight Transportation Operation on Online Platform, or the Interim Measure of Digital Freight Transportation, which took effect on January 1, 2020 with a validity period for two years, and, pursuant to which, “digital freight transportation” operation refers to the road freight transportation operation activities in which an operator integrates and allocates transportation resources on an online platform, enters into a transport contract with the consignor in the capacity of a carrier, entrusts an actual carrier to complete the road freight transportation, and assumes the responsibility of the carrier. According to the Interim Measure of Digital Freight Transportation, besides the Road Transportation Permit with the business scope of digital freight transportation, the operators of digital freight transportation business shall also meet the requirements on commercial internet information service pursuant to the Administrative Measures on Internet Information Services. The authorities responsible for the supervision and administration of road transportation at the county level shall issue the operation licenses with the operating scope of digital freight transportation to qualified digital freight transportation operators. On December 31, 2021, the MOT together with the SAT issued the Announcement on extending the validity period of the Interim Measures for Administration of Road Freight Transportation Operation on Online Platform which extends the validity period of the Interim Measure of Digital Freight Transportation to December 31, 2023.</w:t>
      </w:r>
    </w:p>
    <w:p>
      <w:pPr>
        <w:spacing w:after="0" w:line="19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On September 24, 2019, the MOT promulgated three guidelines on digital freight transportation, including the Service Guidelines on the Road Freight Transportation Operation on Online Platform, the Guidelines on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Construction of Provincial Digital Freight Information Monitoring System and the Access Guidelines on the Ministerial Digital Freight Information Interaction System, all of which came into effect at the same date. Among those, the Service Guidelines on the Road Freight Transportation Operation on Online Platform sets forth that digital freight transportation operators shall meet the requirements include: (i) obtaining the value-added telecommunication business operation licenses, (ii) complying with state’s requirements for graded protection of information system security,</w:t>
      </w:r>
    </w:p>
    <w:p>
      <w:pPr>
        <w:spacing w:after="0" w:line="3" w:lineRule="exact"/>
        <w:rPr>
          <w:sz w:val="20"/>
          <w:szCs w:val="20"/>
          <w:color w:val="auto"/>
        </w:rPr>
      </w:pPr>
    </w:p>
    <w:p>
      <w:pPr>
        <w:ind w:left="120" w:right="20" w:hanging="4"/>
        <w:spacing w:after="0" w:line="260" w:lineRule="auto"/>
        <w:tabs>
          <w:tab w:leader="none" w:pos="4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connecting to the provincial digital freight transportation information monitoring system, and (iv) equipped with features including information release, online transaction, full-process monitoring, online financial payment, consultation and complaint, query statistics and data retrieval.</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E-Commerce</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January 26, 2014, the State Administration for Industry and Commerce, or the SAIC (which is the predecessor of the SAMR) promulgated the Administrative Measures for Online Trading, or the Online Trading Measures, which became effective on March 15, 2014, to regulate all operating activities for product sales and services provision via the internet (including mobile internet). It stipulates the obligations of online products operators and services providers and certain special requirements applicable to third-party platform operators. Furthermore, the Ministry of Commerce, or MOFCOM, promulgated the Provisions on the Procedures for Formulating Transaction Rules of Third-Party Online Retail Platforms (Trial) on December 24, 2014, which became effective on April 1, 2015, to guide and regulate the formulation, revision and enforcement of transaction rules by online retail third-party platforms operators. These measures impose more stringent requirements and obligations on third-party platform operators. For example, third-party platform operators are obligated to make public and file their transaction rules with MOFCOM or their respective provincial counterparts, examine and register the legal status of each third-party merchant selling products or services on their platforms and display on a prominent location on a merchant’s webpage the information stated in the merchant’s business license or a link to its business license. Where third-party platform operators also conduct self-operation of products or services on the platform, these third-party platform operators must make a clear distinction between their online direct sales and sales of third party merchant products on their third-party platforms to avoid misleading the consumers. On March 15, 2021, the State Administration for Market Regulation, or SAMR, promulgated the Measures for the Supervision and Administration of Online Transactions, which will come into effect on May 1, 2021 and replace the Online Trading Measures. These new measures provide more detailed requirements for the platform operators, such as clarifying the specific acts infringing consumers’ personal information in online transactions and the prohibited contents contained in the standard terms used by the operators.</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August 31, 2018, the Standing Committee of the National People’s Congress, or the SCNPC, promulgated the E-Commerce Law of the PRC, or the E-Commerce Law, which became effective on January 1, 2019. The promulgation of the E-Commerce Law established the basic legal framework for the development of China’s E-Commerce business and clarified the obligations of the operators of e-commerce platforms and the possible legal consequences if operators of e-commerce platforms are found to be in violation of legally prescribed obligations. For example, pursuant to the E-Commerce Law, all e-commerce operators shall (i) register themselves as market subjects according to the law, except for individuals selling self-produced agricultural and sideline products or family handicrafts, applying their own skills in labor activities that are exempted from registration, or engaged in odd small-amount transaction activities that do not require any license under the law; (ii) fulfill their tax obligations and enjoy tax incentives in accordance with the law; (iii) always have information about its own business license, the administrative license issued for its business, and its status as a party that is not required to register itself as a market subject, or the link to a webpage with such information published in a prominent position on its homepage; (iv) bear the likely risks and responsibilities when commodities are in transit, except when consumers select separate express logistics service providers; and (i) provide clear notice to consumers for tie-in sales and shall not set tie-in commodities or services as the default option. Further, e-commerce operators that possess dominant market positions shall not abuse their market dominance to eliminate or restrict competition.</w:t>
      </w:r>
    </w:p>
    <w:p>
      <w:pPr>
        <w:spacing w:after="0" w:line="19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E-commerce Law provides that platform operators shall (i) verify and register the identity, address, contact and administrative license of e-commerce operators applying to sell commodities or provide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services on its platform, establish registration archives and have them verified and updated regularly; (ii) record and save information released on its platform about commodities and services and deals concluded for a period of three years (unless otherwise stipulated), and ensure the completeness, confidentiality and availability of such information; (iii) use noticeable labels to clearly identify any business that it conducts on its own platform. A platform operator shall not impose unreasonable restrictions over or add unjustified conditions to transactions concluded on its platform by e-commerce operators, nor shall a platform operator charges e-commerce operators on its platform any unreasonable fees.</w:t>
      </w:r>
    </w:p>
    <w:p>
      <w:pPr>
        <w:spacing w:after="0" w:line="183"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Violation of the provisions of the E-Commerce Law may entail being ordered to make corrections within a prescribed period of time, confiscation of gains illegally obtained, fines, suspension of business, inclusion of such violations in the credit records and possible civil liabilities. If a platform operator knows, or should have known, that an e-commerce operator has conducted acts infringing on the legitimate rights and interests of consumers, but the platform operator fails to take any necessary measure, the platform operator shall be held jointly and severally liable with the e-commerce operator. Where a platform operator fails to examine the qualifications of the e-commerce operators on its platform or fails to protect the safety of its consumers in respect of goods or services that may affect the consumer’s health, the platform operator shall bear corresponding liability to the consumers. Where a platform operator fails to take necessary measures against violations of intellectual property rights by e-commerce operators on its platform, the relevant administrative departments of intellectual property may order the platform operator to make corrections within the required time limit; where it fails to make corrections within the required time limit, the platform operator may face administrative fines of up to RMB2,000,000.</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and Policies on Computer Software</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Regulations on the Protection of Computer Software promulgated by the State Council on June 4, 1991 and last amended on March 2013, Chinese citizens, legal persons or other entities own the copyright in software developed by them, including the right of publication, right of authorship, right of modification, right of reproduction, distribution right, rental right, right of communication through network, translation right and other rights that software copyright owners shall have, regardless of whether such software has been published. In accordance with the Measures for the Registration of Computer Software Copyright promulgated by the National Copyright Administration on April 1992 and last amended on February 2002, software copyrights, exclusive licensing contracts for software copyrights and software copyright transfer contracts may be registered, and the National Copyright Administration shall be the competent authority for the administration of software copyright registration and designates the Copyright Protection Center of China as a software registration authority. The Copyright Protection Center of China shall grant a registration certification to a computer software copyright applicant who complies with regulations.</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Several Policies on Further Encouraging the Development of the Software and the Integrated Circuit Industries which was promulgated by the State Council on January 28, 2011 and came into effect on the same date specifies a series of policies on tax preference, promotion of investment, scientific research, talent support, intellectual properties for the software industry. Furthermore, the Several Policies on Promoting the High-quality Development of the Integrated Circuit Industries and the Software Industries in the New Era which was promulgated by the State Council on July 27, 2020 and came into effect on the same date sets forth further policies on tax preference, promotion of investment, research and development, import and export, talent support, intellectual properties for the software industry.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Advertisement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PRC government regulates advertising principally through the SAMR. The PRC Advertising Law, or the Advertising Law, as last amended on April 29, 2021, outlines the regulatory framework for the advertising industry. The Advertising Law stipulates that advertisements shall not contain any false or misleading content or defraud or mislead consumers. Any advertisement that defrauds or misleads consumers with any false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misleading content is considered a false advertisement. An advertiser shall be responsible for the veracity of contents of advertisement. Violation of these regulations may result in penalties calculated on the basis of advertising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Product Quality</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According to the Product Quality Law of the PRC, which became effective from September 1, 1993 and was last amended by the SCNPC on December 29, 2018, products for sale must satisfy relevant safety standards and sellers shall adopt measures to maintain the quality of products for sale. For sellers, any violation of state or industrial standards for health and safety or other requirements may result in civil liabilities and administrative penalties, such as compensation for damages, fines, confiscation of products illegally manufactured or sold and the proceeds from the sales of such products and even revocation of business license; in addition, severe violations may subject the responsible individual or enterprise to criminal liabilities. According to the Product Quality Law of the PRC and the Civil Code of the PRC, or the PRC Civil Code, which was promulgated by the National People’s Congress, or the NPC, on May 28, 2020 and took effect on January 1, 2021, where a defective product causes physical injury to another person or damage to another person’s property, such person may claim compensation from the manufacturer or from the seller of the product. If the seller pays the compensation but it is the manufacturer that should bear the liability, the seller has a right of recourse against the manufacturer, and vice versa. The PRC Civil Code further stipulates that if any manufacturer or seller knowingly produces or sells defective products or fails to take effective remedial measures in accordance with the PRC Civil Code and thus causes death or serious injury to the health of another person, such person shall be entitled to claim punitive damages. If the product is defective due to the fault of a third party such as a transport keeper or a warehouser, causing damage to others, the manufacturer or seller of the product shall have the right to claim compensation from the third party after making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Information Security and Privacy Protection</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13, 2005, the Provisions on Technical Measures for the Internet Security Protection were promulgated by the Ministry of Public Security and came into effect on March 1, 2006, pursuant to which, internet service providers are required to take appropriate security protection technical measures such as anti-virus, data back-up, keeping records of certain information such as users’ login-in and exit time, and other system maintenance logs, etc., and to keep records of certain users’ information for at least 60 days, and to detect and stop transmission of illegal information and keep relevant records.</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28, 2012, the Standing Committee of the National People’s Congress, or the SCNPC, issued the Decision on Strengthening Information Protection on Networks, pursuant to which, network service providers and other enterprises and institutions shall, when collecting and using electronic personal information of citizens in business activities, comply with the principles of legality, rationality and necessarily, explicitly state the purposes, manners and scopes of collecting and using information, and obtain the consent of those from whom information is collected, and shall not collect and use information in violation of laws and regulations and the agreement between both sides; and the network service providers and other enterprises and institutions and their personnel must strictly keep such information confidential and may not divulge, alter, damage, sell, or illegally provide others with such information.</w:t>
      </w:r>
    </w:p>
    <w:p>
      <w:pPr>
        <w:spacing w:after="0" w:line="18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7, 2016, the Cybersecurity Law of the PRC, or the Cybersecurity Law, was promulgated by the SCNPC and came into effective on June 1, 2017. According to the Cybersecurity Law, network operators must comply with applicable laws and regulations and fulfill their obligations to safeguard cyber security in conducting business and providing services. As for the operation of the network or the provision of services through the network, network operators shall take technical and other necessary measures as required by law and the compulsory requirements of national standards to ensure the safe and stable operation of the network, respond to cyber security incidents effectively, prevent illegal and criminal activities, and maintain the integrity, confidentiality and usability of network data. Network operators are also required to, among others, (i) establish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internal security management policies and operation procedures; (ii) clearly indicate the purposes, methods and scope of the information collection, the use of information collection, and obtain the consent of those from whom the information is collected, when collecting or using personal information; and (iv) strictly preserve the privacy of user information they collect, and establish and maintain systems to protect user privacy. In the event of any unauthorized disclosure, damage or loss of collected personal information, network operators shall take immediate remedial measures, notify the affected users and report the incidents to the relevant authorities in a timely manner.</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May 28, 2020, the National People’s Congress issued the PRC Civil Code, which took effect on January 1, 2021, pursuant to which, natural person’s personal information shall be protected by law, and the processing of personal information shall be subject to the principle of legitimacy, rightfulness and necessity, with no excessive processing.</w:t>
      </w:r>
    </w:p>
    <w:p>
      <w:pPr>
        <w:spacing w:after="0" w:line="17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Data Security Law of PRC (the “</w:t>
      </w:r>
      <w:r>
        <w:rPr>
          <w:rFonts w:ascii="Times New Roman" w:cs="Times New Roman" w:eastAsia="Times New Roman" w:hAnsi="Times New Roman"/>
          <w:sz w:val="18"/>
          <w:szCs w:val="18"/>
          <w:b w:val="1"/>
          <w:bCs w:val="1"/>
          <w:color w:val="auto"/>
        </w:rPr>
        <w:t>Data Security Law</w:t>
      </w:r>
      <w:r>
        <w:rPr>
          <w:rFonts w:ascii="Times New Roman" w:cs="Times New Roman" w:eastAsia="Times New Roman" w:hAnsi="Times New Roman"/>
          <w:sz w:val="18"/>
          <w:szCs w:val="18"/>
          <w:color w:val="auto"/>
        </w:rPr>
        <w:t>”) was released by the SCNPC on June 10, 2021 and became effective on September 1, 2021. The Data Security Law provides for, amongst others, data security and protection obligations on entities and individuals carrying out data processing activities, and introduces a data classification and hierarchical protection system based on the materiality of data in economic and social development, as well as the degree of harm it may cause to national security, public interests, or legitimate rights and interests of individuals or entities when such data is tampered with, destroyed, divulged, or illegally acquired or used. According to the Data Security Law, data processing activities shall be carried out in accordance with PRC laws and regulations, establishing and improving the whole-process data security management system, organizing and carrying out data security education and training, and taking relevant technical measures and other measures necessary to safeguard data security. In carrying out data processing activities, risk monitoring shall be strengthened, and remedial measures shall be taken immediately when data security defects, loopholes and other risks are found. In the event of a data security incident, the data processors shall take immediate measures to deal with it, inform the user in time and report to the competent authorities in accordance with relevant provisions. The Data Security Law also requires the government to establish data security review mechanism for data processing activities that affect or may affect national security.</w:t>
      </w:r>
    </w:p>
    <w:p>
      <w:pPr>
        <w:spacing w:after="0" w:line="18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August 16, 2021, the CAC and certain other Chinese government authorities issued the Several Provisions on Automobile Data Security Management (for Trial) (the “</w:t>
      </w:r>
      <w:r>
        <w:rPr>
          <w:rFonts w:ascii="Times New Roman" w:cs="Times New Roman" w:eastAsia="Times New Roman" w:hAnsi="Times New Roman"/>
          <w:sz w:val="18"/>
          <w:szCs w:val="18"/>
          <w:b w:val="1"/>
          <w:bCs w:val="1"/>
          <w:color w:val="auto"/>
        </w:rPr>
        <w:t>Automobile Data Provisions</w:t>
      </w:r>
      <w:r>
        <w:rPr>
          <w:rFonts w:ascii="Times New Roman" w:cs="Times New Roman" w:eastAsia="Times New Roman" w:hAnsi="Times New Roman"/>
          <w:sz w:val="18"/>
          <w:szCs w:val="18"/>
          <w:color w:val="auto"/>
        </w:rPr>
        <w:t>”), which took effect on October 1, 2021. The Automobile Data Provisions stipulate the scope of personal information and important data in the automobile industry and set out the principles and requirements for the automobile data processors to process personal information or important data. The automobile data processors who carry out important data processing activities shall also carry out risk assessments and submit annual automobile data security management report to relevant government authorities at provincial level.</w:t>
      </w:r>
    </w:p>
    <w:p>
      <w:pPr>
        <w:spacing w:after="0" w:line="17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20, 2021, the SCNPC promulgated the Personal Information Protection Law (the “</w:t>
      </w:r>
      <w:r>
        <w:rPr>
          <w:rFonts w:ascii="Times New Roman" w:cs="Times New Roman" w:eastAsia="Times New Roman" w:hAnsi="Times New Roman"/>
          <w:sz w:val="18"/>
          <w:szCs w:val="18"/>
          <w:b w:val="1"/>
          <w:bCs w:val="1"/>
          <w:color w:val="auto"/>
        </w:rPr>
        <w:t>PIPL</w:t>
      </w:r>
      <w:r>
        <w:rPr>
          <w:rFonts w:ascii="Times New Roman" w:cs="Times New Roman" w:eastAsia="Times New Roman" w:hAnsi="Times New Roman"/>
          <w:sz w:val="18"/>
          <w:szCs w:val="18"/>
          <w:color w:val="auto"/>
        </w:rPr>
        <w:t>”), which became effective on November 1, 2021. The PIPL stipulates the scope of personal information, sets out the rules for processing personal information and the rules for cross-border transfer of personal information, as well as clarifies the individual’s rights and the processor’s obligations in the process of personal information processing. The PIPL requires, among others, that (1) informing the individuals of the rules and purposes of personal information processing, impacts of personal information processing and how the individual can exercise their rights, (2) obtaining consents from individuals for personal information processing (separate consent for sensitive personal information processing), (3) establishing internal policies and procedures in terms of personal information processing and taking appropriate technical measures, (4) providing channels for individuals to exercise their personal information rights under the PIPL and respond to their requests; and (5) conduct personal information protection assessment under certain personal information processing activities.</w:t>
      </w:r>
    </w:p>
    <w:p>
      <w:pPr>
        <w:spacing w:after="0" w:line="18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On November 14, 2021, the Cyberspace Administration of China (the “</w:t>
      </w:r>
      <w:r>
        <w:rPr>
          <w:rFonts w:ascii="Times New Roman" w:cs="Times New Roman" w:eastAsia="Times New Roman" w:hAnsi="Times New Roman"/>
          <w:sz w:val="18"/>
          <w:szCs w:val="18"/>
          <w:b w:val="1"/>
          <w:bCs w:val="1"/>
          <w:color w:val="auto"/>
        </w:rPr>
        <w:t>CAC</w:t>
      </w:r>
      <w:r>
        <w:rPr>
          <w:rFonts w:ascii="Times New Roman" w:cs="Times New Roman" w:eastAsia="Times New Roman" w:hAnsi="Times New Roman"/>
          <w:sz w:val="18"/>
          <w:szCs w:val="18"/>
          <w:color w:val="auto"/>
        </w:rPr>
        <w:t>”) released the Regulations on the Administration of Network Data Security (Draft for Comments) (the “</w:t>
      </w:r>
      <w:r>
        <w:rPr>
          <w:rFonts w:ascii="Times New Roman" w:cs="Times New Roman" w:eastAsia="Times New Roman" w:hAnsi="Times New Roman"/>
          <w:sz w:val="18"/>
          <w:szCs w:val="18"/>
          <w:b w:val="1"/>
          <w:bCs w:val="1"/>
          <w:color w:val="auto"/>
        </w:rPr>
        <w:t>Draft Regulations</w:t>
      </w:r>
      <w:r>
        <w:rPr>
          <w:rFonts w:ascii="Times New Roman" w:cs="Times New Roman" w:eastAsia="Times New Roman" w:hAnsi="Times New Roman"/>
          <w:sz w:val="18"/>
          <w:szCs w:val="18"/>
          <w:color w:val="auto"/>
        </w:rPr>
        <w:t>”), which stipulates that a data processor who processes personal information of more than one million users seeking to list abroad or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 data processor seeking to list in Hong Kong which affects or may affect national security shall apply for cybersecurity review before its proposed listing. The Draft Regulations also require data processors that process important data or are listed overseas to carry out an annual data security assessment on their own or by engaging a data security services agency, and the data security assessment report for a given year should be submitted to the local cyberspace administration office before January 31 of the following year. However, the Draft Regulations do not provide further clarification on “affect or may affect national security” and it remains uncertain when and in what form will the Draft Regulations be enacted.</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28, 2021, the CAC and several other government authorities jointly promulgated the Cybersecurity Review Measures, which became effective from February 15, 2022. According to the Cybersecurity Review Measures, a network platform operator who possesses personal information of more than one million users must apply for cybersecurity review before listing abroad, and cybersecurity review may also be initiated by the Office of Cybersecurity Review if the relevant governmental authority that is a member of the cybersecurity review working mechanism considers relevant network products or services and data processing activities affect or may affect national security.</w:t>
      </w:r>
    </w:p>
    <w:p>
      <w:pPr>
        <w:spacing w:after="0" w:line="179"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On July 7, 2022, the CAC promulgated the Measures for Security Assessment of Cross-border Data Transfers (the “</w:t>
      </w:r>
      <w:r>
        <w:rPr>
          <w:rFonts w:ascii="Times New Roman" w:cs="Times New Roman" w:eastAsia="Times New Roman" w:hAnsi="Times New Roman"/>
          <w:sz w:val="18"/>
          <w:szCs w:val="18"/>
          <w:b w:val="1"/>
          <w:bCs w:val="1"/>
          <w:color w:val="auto"/>
        </w:rPr>
        <w:t>Security Assessment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Measures</w:t>
      </w:r>
      <w:r>
        <w:rPr>
          <w:rFonts w:ascii="Times New Roman" w:cs="Times New Roman" w:eastAsia="Times New Roman" w:hAnsi="Times New Roman"/>
          <w:sz w:val="18"/>
          <w:szCs w:val="18"/>
          <w:color w:val="auto"/>
        </w:rPr>
        <w:t>”), which took effect on September 1, 2022. According to the Security Assessment Measures, a data processor needs to apply for a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 of its cross-border data transfer activities if any of the following thresholds is triggered: (i) it provides important data to a recipient outside of the PRC; (ii) it is a critical information infrastructure operator or it processes personal information of more than one million individuals and provides personal information to a recipient outside of the PRC; (iii) it has exported personal information of more than 100,000 individuals in aggregate or the sensitive personal information of more than 10,000 individuals in aggregate since January 1 of the previous year; or (iv) other circumstances subject to a security assessment as required by the national cyberspace administration. The Security Assessment Measures also provide specific procedures for a security assessment, as well as important factors to be considered in conducting security assessments.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Leasing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Law on Administration of Urban Real Estate which took effect in January 1995 with the latest amendment effective on January 1, 2020, lessors and lessees are required to enter into a written lease contract, containing such provisions as the term of the lease, the use of the premises, rental price, liability for repair, and other rights and obligations of both parties. lessors and lessees are also required to file for registration.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Copyright and Software Products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September 7, 1990, The National People’s Congress adopted the Copyright Law of the PRC, or the Copyright Law, which was last amended on November 11, 2020 and became effective on June 1, 2021, providing that PRC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extends copyright protection to internet activities, products disseminated over the internet and software products. In addition, there is a voluntary registration system administered by the China Copyright Protection Center.</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order to further implement the Computer Software Protection Regulations promulgated by the State Council on December 20, 2001 and most recently amended on January 30, 2013, the State Copyright Bureau issued the Computer Software Copyright Registration Procedures on February 20, 2002, which apply to software copyright registration, license contract registration and transfer contract registration.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According to the Copyright Law, an infringer will be subject to various civil liabilities, which include cessation of the infringement and apologizing to and compensating the actual loss suffered by the copyright owner. If the actual loss of the copyright owner is difficult to calculate, the income received by the infringer as a result of the infringement will be deemed as the actual loss or if such illegal income is also difficult to calculate, the court can decide the amount of the actual loss up to RMB5,000,000.</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August 23, 1982, the State Council adopted the Trademark Law of the PRC, or the Trademark Law, which was last amended on April 23,2019 and became effective on November 1, 2019. On August 3, 2002, the State Council promulgated the Implementation Regulation of the PRC Trademark Law, which was last amended on April 29, 2014 and became effective on May 1, 2014. The Trademark Office under the SAMR handles trademark registrations and grants a term of ten years to registered trademarks and another ten years if requested upon expiry of the first or any renewed ten-year term. The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After receiving an application, the Trademark Office will make a public announcement if the relevant trademark passes the preliminary examination. During the three months after this public announcement, any person entitled to prior rights and any interested party may file an objection against the trademark. The PRC Trademark Office’s decisions on rejection, objection or cancelation of an application may be appealed to the PRC Trademark Review and Adjudication Board, whose decision may be further appealed through judicial proceedings. If no objection is filed within three months after the public announcement or if the objection has been overruled, the PRC Trademark Office will approve the registration and issue a registration certificate, at which point the trademark is deemed to be registered and will be effective for a renewable ten-year period, unless otherwise revoked. Besides, trademark license agreements should be filed with the Trademark Office for record.</w:t>
      </w: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12, 1984, the SCNPC, promulgated the Patent Law of the PRC, which was last amended on October 17, 2020. On June 15, 2001, the State Council promulgated the Implementation Regulation for the Patent Law, which was last amended on January 9, 2010 and became effective on February 1, 2010. According to these laws and regulations, the State Intellectual Property Office is responsible for administering patents in the PRC. The Chinese patent system adopts a “first to file” principle, which means that where more than one person files a patent application for the same invention, a patent will be granted to the person who filed the application first. To be patentable, invention or utility models must meet three conditions: novelty, inventiveness and practical applicability. A patent is valid for 20 years in the case of an invention and 10 years in the case of utility models and designs. A third-party user must obtain consent or a proper license from the patent owner to use the patent. Otherwise, third-party use constitutes an infringement of patent rights.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Internet domain name registration and related matters are primarily regulated by the Measures on Administration of Internet Domain Names promulgated by the Ministry of Industry and Information Technology on August 24, 2017 and with effect from November 1, 2017, and the Announcement on Promulgation and Implementation of a Series of Provisions of the Implementing Rules for the Registration of National Top-level Domain Names promulgated by the China Internet Network Information Center on June 18, 2019 with immediate effect. Domain name registrations are handled through domain name service agencies established under the relevant regulations, and the applicants become domain name holders upon successful registration.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 Control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January 29, 1996, the State Council promulgated the Administrative Regulations on Foreign Exchange of the PRC, which was last amended and came into effect on August 5, 2008. On June 20, 1996, the People’s Bank of China, or the PBOC, promulgated the Administrative Regulations on Foreign Exchange Settlement, Sales and Payment, which became effective on July 1, 1996. Under these regulations, payments of current account items, such as profit distributions and trade and service-related foreign exchange transactions, can be made in foreign currencies without prior approval from State Foreign Exchange Administration of the People’s Republic of China, or the SAFE, by complying with certain procedural requirements. By contrast, approval from or registration with appropriate government authorities is required where Renminbi is to be converted into foreign currency and remitted out of the PRC to pay capital account items such as the repayment of foreign currency denominated loans, direct investment overseas and investments in securities or derivative products outside of the PRC. FIEs are permitted to convert their after tax dividends into foreign exchange and to remit such foreign exchange out of their foreign exchange bank accounts in the PRC.</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30, 2015, the SAFE promulgated the Notice on Reforming the Administration of Foreign Exchange Settlement of Capital of Foreign-invested Enterprises, or the SAFE Circular 19, which was amended on December 30, 2019. According to SAFE Circular 19, the foreign currency capital contribution to an FIE in its capital account may be converted into RMB on a discretional basis.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June 9, 2016, the SAFE promulgated the Circular on Reforming and Regulating Policies on the Management of the Settlement of Foreign Exchange of Capital Accounts, or the SAFE Circular 16. The SAFE Circular 16 unifies the discretional foreign exchange settlement for all the domestic institutions. The Discretional Foreign Exchange Settlement refers to the foreign exchange capital in the capital account which has been confirmed by the relevant policies subject to the discretional foreign exchange settlement (including foreign exchange capital, foreign loans and funds remitted from the proceeds from the overseas listing) can be settled at the banks based on the actual operational needs of the domestic institutions. The proportion of Discretional Foreign Exchange Settlement of the foreign exchange capital is temporarily determined as 100%. Violations of SAFE Circular 19 or SAFE Circular 16 could result in administrative penalties in accordance with the Foreign Exchange Administrative Regulation and relevant provisions.</w:t>
      </w:r>
    </w:p>
    <w:p>
      <w:pPr>
        <w:spacing w:after="0" w:line="18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Furthermore, the SAFE Circular 16 stipulates that the use of foreign exchange incomes of capital accounts by FIEs shall follow the principles of authenticity and self-use within the business scope of the enterprises. The foreign exchange incomes of capital accounts and capital in RMB obtained by the FIEs from foreign exchange settlement shall not be used for the following purposes: (i) directly or indirectly used for the payment beyond the business scope of the enterprises or the payment prohibited by relevant laws and regulations; (ii) directly or indirectly used for investment in securities or financial schemes other than bank guaranteed products unless otherwise provided by relevant laws and regulations; (iii) used for granting loans to non-affiliated enterprises, unless otherwise permitted by its business scope; and (iv) used for the construction or purchase of real estate that is not for self-use (except for the real estate enterprises).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October 23, 2019, the SAFE promulgated the Notice of the State Administration of Foreign Exchange on Further Promoting the Convenience of Cross-border Trade and Investment, or the SAFE Circular 28. The SAFE Circular 28 stipulates that non-investment FIEs may use capital to carry out domestic equity investment in accordance with the law under the premise of not violating the Negative list and the projects invested are true and in compliance with laws and regulations.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April 10, 2020, the SAFE promulgated the Circular of SAFE on Optimizing Foreign Exchange Administration to Support the Development of Foreign-related Business, or the SAFE Circular 8, the reform of facilitating the payments of incomes under the capital accounts shall be promoted nationwide. Under the prerequisite of ensuring true and compliant use of funds and compliance and complying with the prevailing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administrative provisions on use of income from capital projects, enterprises which satisfy the criteria are allowed to use income under the capital account, such as capital funds, foreign debt and overseas listing, etc., for domestic payment, without the need to provide proof materials for veracity to the bank beforehand for each transaction.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Debts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 loan made by foreign investors as shareholders in a foreign-invested enterprise is considered to be foreign debt in the PRC and is regulated by various laws and regulations, including the Foreign Exchange Administrative Regulation, the Interim Provisions on the Management of Foreign Debts promulgated by SAFE, the NDRC and the Ministry of Finance, or the MOF, and took effect on March 1, 2003, amended on July 26, 2022 and took effect on September 1, 2022 and the Administrative Measures for Registration of Foreign Debts promulgated by SAFE on April 28, 2013 and amended by the Notice of the SAFE on Abolishing and Amending the Normative Documents Related to the Reform of the Registered Capital Registration System on May 4, 2015. Under these rules, a shareholder loan in the form of foreign debt made to a Chinese entity does not require the prior approval of SAFE. However, such foreign debt must be registered with and recorded by SAFE or its local branch. The SAFE Circular 28 provides that a non-financial enterprise in the pilot areas may register the permitted amounts of foreign debts, which is as twice of the non-financial enterprise’s net assets, at the local foreign exchange bureau. Such non-financial enterprise may borrow foreign debts within the permitted amounts and directly handle the relevant procedures in banks without registration of each foreign debt. However, the non-financial enterprise shall report its international income and expenditure regularly.</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 Registration of Overseas Investment by PRC Residents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July 4, 2014, the SAFE promulgated the Circular on Relevant Issues Relating to Domestic Resident’s Investment and Financing and Roundtrip Investment through Special Purpose Vehicles, or the SAFE Circular 37, that requires PRC residents or entities to register with the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87" w:lineRule="exact"/>
        <w:rPr>
          <w:sz w:val="20"/>
          <w:szCs w:val="20"/>
          <w:color w:val="auto"/>
        </w:rPr>
      </w:pPr>
    </w:p>
    <w:p>
      <w:pPr>
        <w:jc w:val="both"/>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The SAFE Circular 37 was issued to replace the Notice on Relevant Issues Concerning Foreign Exchange Administration for PRC Residents Engaging in Financing and Roundtrip Investments via Overseas Special Purpose Vehicles issued by SAFE in October 2005. The SAFE further enacted SAFE Circular 13, which allows PRC residents or entities to register with qualified banks in connection with their establishment or control of an offshore entity established for the purpose of overseas investment or financing. However, remedial registration applications made by PRC residents that previously failed to comply with the SAFE Circular 37 continue to fall under the jurisdiction of the relevant local branch of SAFE. In the event that a PRC shareholder holding interests in a special purpose vehicle fails to fulfill the required SAFE registration, the PRC subsidiaries of that special purpose vehicle may be prohibited from distributing profits to the offshore parent and from carrying out subsequent cross-border foreign exchange activities, and the special purpose vehicle may be restricted in its ability to contribute additional capital into its PRC subsidiary. Moreover, failure to comply with the various SAFE registration requirements described above could result in liability under the PRC laws for evasion of foreign exchange regulation.</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Outbound Direct Investment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26, 2017, the NDRC promulgated the Administrative Measures on Overseas Investments of Enterprises, or NDRC Order No. 11, which took effect on March 1, 2018. According to NDRC Order No. 11, non-sensitive overseas investment projects are required to make record filings with the NDRC or its local branch.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On September 6, 2014, MOFCOM promulgated the Administrative Measures on Overseas Investments, which took effect on October 6, 2014. According to such regulation, overseas investments of PRC enterprises that involve non-sensitive countries and regions and non-sensitive industries must make record filings with the MOFCOM or its local branch. The Notice of the State Administration of Foreign Exchange on Further Improving and Adjusting Foreign Exchange Administration Policies for Direct Investment was issued by SAFE on November 19, 2012 and last amended on December 30, 2019, under which PRC enterprises must register for overseas direct investment with local banks. The shareholders or beneficial owners who are PRC entities are required to be in compliance with the related overseas investment regulations. If they fail to complete the filings or registrations required by overseas direct investment regulations, the relevant authority may order them to suspend or cease the implementation of such investment and make corrections within a specified time.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Stock Incentive Plans</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February 15, 2012, SAFE promulgated the Notice on Foreign Exchange Administration of PRC Residents Participating in Share Incentive Plans of Offshore Listed Companies, or the Stock Option Rules, replacing the previous rules issued by SAFE in March 2007. Under the Stock Option Rules and other relevant rules and regulations, PRC residents who participate in a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the overseas publicly-listed company or another qualified institution selected by the PRC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SAFE Circular 37 provides that PRC residents who participate in a share incentive plan of an overseas unlisted special purpose company may register with SAFE or its local branches before exercising rights.</w:t>
      </w: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principal regulations governing distribution of dividends of foreign-invested enterprises include the PRC Company Law and the Foreign Investment Law. Under these laws and regulations, wholly foreign-owned enterprises in China may pay dividends only out of their accumulated after-tax profits, if any, determined in accordance with China accounting standards and regulations. In addition, wholly foreign-owned enterprises in China are required to allocate at least 10% of their respective accumulated profits each year, if any, to fund certain reserve funds until these reserves have reached 50% of the registered capital of the enterprises. Wholly foreign-owned companies may, at their discretion, allocate a portion of their after-tax profits based on China accounting standards to staff welfare and bonus funds. These reserves are not distributable as cash dividends.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Tax</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Enterprise Income Tax Law of the PRC, or the EIT Law, which was last amended and became effective on December 29, 2018, and its implementing rules, enterprises are classified as resident enterprises and non-resident enterprises. PRC resident enterprises typically pay an enterprise income tax at the rate of 25% while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non-PRC resident enterprises without any branches in the PRC should pay an enterprise income tax in connection with their income from the PRC at the tax rate of 10%. An enterprise established outside of the PRC with its “de facto management bodies” located within the PRC is considered a “resident enterprise,” meaning that it can be treated in a manner similar to a PRC domestic enterprise for enterprise income tax purposes. The implementing rules of the EIT Law define a de facto management body as a managing body that in practice exercises “substantial and overall management and control over the production and operations, personnel, accounting, and properties” of the enterprise. Enterprises qualified as “High and New Technology Enterprises” are entitled to a 15% enterprise income tax rate rather than the 25% uniform statutory tax rate. The preferential tax treatment continues as long as an enterprise can retain its “High and New Technology Enterprise” status.</w:t>
      </w:r>
    </w:p>
    <w:p>
      <w:pPr>
        <w:spacing w:after="0" w:line="18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EIT Law and the implementation rules provide that an income tax rate of 10% should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Such income tax on the dividends may be reduced pursuant to a tax treaty between China and other jurisdictions. Pursuant to the Arrangement Between the Mainland of China and the Hong Kong Special Administrative Region for the Avoidance of Double Taxation on Income,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upon receiving approval from in-charge tax authority. However, based on the Notice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PRC tax authorities may adjust the preferential tax treatment; and based on the Announcement on Relevant Issues Concerning the “Beneficial Owners” in Tax Treaties issued on February 3, 2018 by the SAT and effective on April 1, 2018, which replaces the Notice on the Interpretation and Recognition of Beneficial Owners in Tax Treaties and the Announcement on the Recognition of Beneficial Owners in Tax Treaties by the SAT, comprehensive analysis based on the stipulated factor therein and actual circumstances shall be adopted when recognizing the “beneficial owner” and agents and designated wire beneficiaries are specifically excluded from being recognized as “beneficial owners.”</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3, 2015, the SAT issued the Circular on Issues of Enterprise Income Tax on Indirect Transfers of Assets by Non-PRC-resident Enterprises or the SAT Circular 7. Pursuant to SAT Circular 7, an “indirect transfer” of assets, including equity interests in a PRC resident enterprise, by non-PRC-resident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in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Pursuant to SAT Circular 7, where the payer fails to withhold any or sufficient tax, the transferor shall declare and pay such tax to the tax authority by itself within the statutory time limit. Late payment of applicable tax will subject the transferor to default interest. SAT Circular 7 does not apply to transactions of sale of shares by investors through a public stock exchange where such shares were acquired on a public stock exchange.</w:t>
      </w:r>
    </w:p>
    <w:p>
      <w:pPr>
        <w:spacing w:after="0" w:line="19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On October 17, 2017, the SAT issued the Circular on Issues of Tax Withholding Regarding Non-PRC-resident Enterprise Income Tax, or the SAT Circular 37, which was amended by the Announcement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State Administration of Taxation on Revising Certain Taxation Normative Documents issued on June 15, 2018 by the SAT. SAT Circular 37 further elaborates the relevant implemental rules regarding the calculation, reporting, and payment obligations of the withholding tax by the non-resident enterprises. Nonetheless, there remain uncertainties as to the interpretation and application of SAT Circular 7. SAT Circular 7 may be determined by the tax authorities to be applicable to our offshore transactions or sale of our shares or those of our offshore subsidiaries where non-resident enterprises, being the transferors, were involved.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applicable PRC regulations promulgated by the Ministry of Finance and the SAT, any entity or individual conducting business in the service industry is required to pay a valued-added tax, or VAT, with respect to revenues derived from the provision of services. A taxpayer is allowed to offset the qualified input VAT paid on taxable purchases against the output VAT chargeable on the revenue from services provided.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Employment Laws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Labor Law of the PRC, the Labor Contract Law of the PRC and the Implementing Regulations of the Employment Contracts Law, labor relationships between employers and employees must be executed in written form. Wages may not be lower than the local minimum wage. Employers must establish a system for labor safety and sanitation, strictly abide by state standards and provide relevant education to its employees. Employees are also required to work in safe and sanitary conditions.</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PRC laws, rules and regulations, including the Social Insurance Law, the Interim Regulations on the Collection and Payment of Social Security Funds and the Regulations on the Administration of Housing Accumulation Funds, employers are required to contribute, on behalf of their employees, to a number of social security funds, including funds for basic pension insurance, unemployment insurance, basic medical insurance, occupational injury insurance, maternity leave insurance and housing accumulation funds. These payments are made to local administrative authorities and any employer who fails to contribute may be fined and ordered to pay the deficit amount.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on Anti-Monopoly and Anti-Unfair Competition Laws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Anti-Monopoly Laws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SCNPC promulgated the Anti-Monopoly Law of the PRC, or the Anti-Monopoly Law, on August 30,2007, which was last amended on June 24, 2022 and became effective on August 1, 2022, prohibiting monopolistic conduct such as entering into monopoly agreements, abuse of dominant market position and concentration of undertakings that have the effect of eliminating or restricting competition.</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Anti-Monopoly Law, competing business operators may not enter into monopoly agreements that eliminate or restrict competition, such as by fixing or changing the price of commodities, limiting the production quantity or sale quantity of commodities, fixing the price of commodities for resale to third party, or conducting jointly boycotting transactions. Such acts are prohibited unless the underlying agreements satisfy the regulatory exemptions for, among others, improving technologies, increasing the efficiency and competitiveness of small and medium-sized undertakings, or safeguarding legitimate interests in cross-border trade and economic cooperation with foreign counterparts. Sanctions for violation of such prohibitions include an order to cease the relevant activities, and confiscation of illegal gains and fines ranging from 1% to 10% of the sales revenues from the previous year, or if no sales revenue was made in the previous year, a fine of not more than RMB5,000,000, or RMB3,000,000 if the intended monopoly agreement has been entered into but not been performed.</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under the Anti-Monopoly Law, a business operator with a dominant market position may not abuse its dominant market position to, among others, (i) sell commodities at unfairly high prices or purchase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commodities at unfairly low prices; (ii) sell products at prices below cost without any justifiable cause; and (iii) refuse to trade with a trading party without any justifiable cause. Sanctions for such abuses include an order to cease the relevant activities, and confiscation of the illegal gains and fines ranging from 1% to 10% of sales revenues from the previous year.</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Furthermore, where a concentration of undertakings reaches the declaration threshold stipulated by the State Council, a declaration must be approved by the anti-monopoly authority before the parties implement the concentration. Under the relevant provisions, concentration refers to</w:t>
      </w:r>
    </w:p>
    <w:p>
      <w:pPr>
        <w:jc w:val="both"/>
        <w:ind w:left="120" w:right="20" w:hanging="4"/>
        <w:spacing w:after="0" w:line="252" w:lineRule="auto"/>
        <w:tabs>
          <w:tab w:leader="none" w:pos="35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(ii) acquisition of control over other undertakings by acquiring equities or assets; or (iii) acquisition of control over or the possibility of exercising decisive influence on an undertaking by contract or by any other means. If business operators fail to comply with the mandatory declaration requirement, the anti-monopoly authority is empowered to terminate and/ or unwind the transaction, dispose of relevant assets and shares or businesses within certain periods, as well as impose a fine of not more than 10% of sales revenues from the previous year if the concentration of undertakings has or may have an effect of excluding or limiting competition, or a fine of not more than RMB5,000,000 if the concentration of undertakings does not have an effect of excluding or limiting competition.</w:t>
      </w:r>
    </w:p>
    <w:p>
      <w:pPr>
        <w:spacing w:after="0" w:line="190"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February 7, 2021, the Anti-Monopoly Committee of the State Council promulgated the Anti-Monopoly Guidelines for the Internet Platform Economy Sector, aiming to provide guidelines for supervising and prohibiting monopolistic conduct in connection with the internet platform business operations and further elaborate on the factors for recognizing such monopolistic conduct in the internet platform industry. Pursuant to these guidelines, the methods used by an internet platform collecting or using the private information of internet users may also be one of the factors to be considered when analyzing and recognizing monopolistic conducts. For example, whether the relevant business operator compulsorily collects unnecessary user information may be considered when analyzing whether there is a bundled sale or additional unreasonable trading condition, which are behaviors that constitute abuse of dominant market position. In addition, providing differentiated transaction prices or imposing other transaction conditions for consumers with different payment ability based on consumption preferences and usage habits through big data and algorithms analysis is also one of the behaviors that constitute abuse of dominant market position. Furthermore, whether the relevant business operators are required to choose conclusively among the internet platform and its competitive platforms may be considered when analyzing whether such internet platform operator abuses its dominant market position and excludes or restricts market competition. On November 15, 2021, the SAMR promulgated the Overseas Anti-monopoly Compliance Guidelines for Enterprises, which is aimed at helping PRC companies establish and strengthen overseas anti-monopoly compliance systems to reduce overseas anti-monopoly compliance risks. The Guidelines applies to both PRC enterprises that conduct business and operation overseas and PRC enterprises that conduct business and operations in the PRC and may have certain impacts on overseas markets, in particular for those that conduct import and export trade, overseas investments, acquisition, transfer or license of intellectual properties and tendering and bidding activities. However, as these guidelines were only issued recently, their interpretation and implementation in practice are still subject to changes and may continue to evolve.</w:t>
      </w: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Anti-Unfair Competition Laws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According to the Anti-Unfair Competition Law promulgated by the Standing Committee of the National People’s Congress on September 2, 1993, which was last amended and became effective on April 23, 2019, operators are prohibited from engaging in unfair competition activities such as market confusion, commercial bribery, misleading false publicity, infringement on trade secrets, price dumping, and illegitimate premium sales. Any operator in violation of the Anti-Unfair Competition Law may be ordered to cease illegal activities, eliminate the adverse effect thereof or compensate for the damages caused to any other party. The competent authorities may also confiscate any illegal gains or impose fines on these operators.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M&amp;A Rules and Regulations on Overseas Listings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According to the Rules on the Merger and Acquisition of Domestic Enterprises by Foreign Investors ,or the Circular 10, which were issued jointly by six PRC governmental and regulatory agencies including MOFCOM,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SAFE and the CSRC on August 8, 2006, effective on September 8, 2006 and further amended on June 22, 2009 by MOFCOM, a foreign investor is required to obtain necessary approvals when it (i) acquires the equity of a domestic enterprise so as to convert the domestic enterprise into a foreign-invested enterprise; (ii) subscribes the increased capital of a domestic enterprise so as to convert the domestic enterprise into a foreign-invested enterprise; (iii) establishes a foreign-invested enterprise through purchasing the assets of a domestic enterprise and operating these assets; or (iv) purchases the assets of a domestic enterprise, and then invest such assets to establish a foreign-invested enterprise.</w:t>
      </w:r>
    </w:p>
    <w:p>
      <w:pPr>
        <w:spacing w:after="0" w:line="183"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On February 17, 2023, the CSRC promulgated Trial Administrative Measures of the Overseas Securities Offering and Listing by Domestic Companies, and five relevant supporting guidelines, together as the New Overseas Listing Rules, which became effective on March 31, 2023. The New Overseas Listing Rules will regulate both direct and indirect overseas offering and listing by PRC domestic companies by adopting a filing-based regulatory regime. According to the New Overseas Listing Rules, PRC domestic companies that seek to offer and list securities in overseas markets, either in direct or indirect means, are required to complete the filing procedure with the CSRC and report relevant information. The New Overseas Listing Rules provide that no overseas listing or offering shall be made under any of the following circumstances: (i) where such securities offering and listing is explicitly prohibited by provisions in laws, administrative regulations and relevant state rules; (ii) where the intended securities offering and listing may endanger national security as reviewed and determined by competent authorities under the State Council in accordance with law; (iii) where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where the domestic company intending to make the securities offering and listing is suspected of committing crimes or major violations of laws and regulations, and is under investigation according to law, and no conclusion has yet been made thereof; or (v) where there are material ownership disputes over equity held by the domestic company’s controlling shareholder(s) or by other shareholder(s) that are controlled by the controlling shareholder(s) and/or actual controller.</w:t>
      </w:r>
    </w:p>
    <w:p>
      <w:pPr>
        <w:spacing w:after="0" w:line="19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New Overseas Listing Rules also provide that if the issuer meets the following criteria at the same time, the overseas securities offering and listing conducted by such issuer will be deemed as indirect overseas offering subject to the filing procedures as set forth under the New Overseas Listing Rules: (i) 50% or more of the issuer’s operating revenue, total profit, total assets or net assets as documented in its audited combined financial statements for the most recent accounting year is accounted for by domestic companies; and (ii) the main parts of the issuer’s business activities are conducted in the mainland China, or its main places of business are located in the mainland China, or the senior managers in charge of its business operations and management are mostly Chinese citizens or domiciled in the mainland China. According to the New Overseas Listing Rules, the issuer shall file with the CSRC within three business days after its initial application for the nonpublic review by the SEC is submitted, and the issuer shall report to the CSRC within three business days since its first public filing day. Furthermore, the issuer shall also report to the CSRC with the offering when finished the overseas offering. The New Overseas Listing Rules also require a subsequent overseas securities offering in the same overseas market to be filed within three business days after the completion of such subsequent offering, and subsequent reports to be filed with the CSRC on material events within three business days after the occurrence and public disclosure of such material events, such as change of control or voluntary or forced delisting of the issuer who have completed overseas offerings and listings.</w:t>
      </w:r>
    </w:p>
    <w:p>
      <w:pPr>
        <w:spacing w:after="0" w:line="19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24, 2023, the CSRC, together with other governmental authorities, released the Provisions on Strengthening the Confidentiality and Archives Administration Related to the Overseas Securities Offering and Listing by Domestic Enterprises, or the Confidentiality and Archives Administration Provisions, which became effective on March 31, 2023. The Confidentiality and Archives Administration Provisions are designed to expand the applicable scope of the regulation to indirect overseas offerings and listings by PRC domestic companies with an emphasis on the confidentiality and archive management duties of PRC domestic companies during the process of overseas offerings and listings. Pursuant to the Confidentiality and Archives Administration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Provisions, such domestic companies shall establish the confidentiality and archives system. Bedsides, the domestic companies,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during such inspection and investigation.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920" w:type="dxa"/>
            <w:vAlign w:val="bottom"/>
          </w:tcPr>
          <w:p>
            <w:pPr>
              <w:spacing w:after="0"/>
              <w:rPr>
                <w:sz w:val="16"/>
                <w:szCs w:val="16"/>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760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85"/>
        </w:trPr>
        <w:tc>
          <w:tcPr>
            <w:tcW w:w="2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Junhong Yao</w:t>
            </w:r>
          </w:p>
        </w:tc>
        <w:tc>
          <w:tcPr>
            <w:tcW w:w="920" w:type="dxa"/>
            <w:vAlign w:val="bottom"/>
          </w:tcPr>
          <w:p>
            <w:pPr>
              <w:spacing w:after="0"/>
              <w:rPr>
                <w:sz w:val="16"/>
                <w:szCs w:val="16"/>
                <w:color w:val="auto"/>
              </w:rPr>
            </w:pPr>
          </w:p>
        </w:tc>
        <w:tc>
          <w:tcPr>
            <w:tcW w:w="2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16"/>
                <w:szCs w:val="16"/>
                <w:color w:val="auto"/>
              </w:rPr>
            </w:pPr>
          </w:p>
        </w:tc>
        <w:tc>
          <w:tcPr>
            <w:tcW w:w="76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Founder, Director and Chief Executive Officer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Liyu Zhang</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41</w:t>
            </w: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Co-founder, Director and Senior Vice President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Qin Zou</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43</w:t>
            </w: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Bofei Kong</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42</w:t>
            </w: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Co-founder, Director and Senior Vice President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Gang Ji*</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49</w:t>
            </w: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Yu Cheng</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45</w:t>
            </w: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Jing Zhang</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42</w:t>
            </w: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Zhiming Lu</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40</w:t>
            </w: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Ming Jin</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43</w:t>
            </w: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Yan Chen</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40</w:t>
            </w: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82"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Gang Ji has tendered his resignation to directorship which is conditional and effective immediately prior to the SEC’s declaration of effectiveness of our registration statement on Form F-1, of which this prospectus is a part.</w:t>
      </w:r>
    </w:p>
    <w:p>
      <w:pPr>
        <w:spacing w:after="0" w:line="26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119"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Junhong Yao </w:t>
      </w:r>
      <w:r>
        <w:rPr>
          <w:rFonts w:ascii="Times New Roman" w:cs="Times New Roman" w:eastAsia="Times New Roman" w:hAnsi="Times New Roman"/>
          <w:sz w:val="18"/>
          <w:szCs w:val="18"/>
          <w:color w:val="auto"/>
        </w:rPr>
        <w:t>founded our company in 2012 and serves as our chief executive officer. Mr. Yao is a serial entrepreneur with over 18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car-related industries. Prior to founding our company, Mr. Yao was the co-founder and the COO of CAR Inc., China’s leading car rental company. Prior to that, Mr. Yao was a vice-president of sales and marketing for UAA Beijing from 2005 to 2007, the general manager of Huaxia United from 2003 to 2005, and a software engineer at the Guangzhou Baiyun International Airport Computer Information Management Center. Mr. Yao received a bachelor’s degree in computer application from Nanjing University of Aeronautics and Astronautics in 1995 and an MBA degree from the Chinese University of Hong Kong in 2007.</w:t>
      </w:r>
    </w:p>
    <w:p>
      <w:pPr>
        <w:spacing w:after="0" w:line="18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Liyu Zhang </w:t>
      </w:r>
      <w:r>
        <w:rPr>
          <w:rFonts w:ascii="Times New Roman" w:cs="Times New Roman" w:eastAsia="Times New Roman" w:hAnsi="Times New Roman"/>
          <w:sz w:val="18"/>
          <w:szCs w:val="18"/>
          <w:color w:val="auto"/>
        </w:rPr>
        <w:t>co-founded our company with Mr. Junhong Yao in 2012 and serves as our director and senior vice president. Prior to founding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Zhang held various financial director and vice president positions in several companies operating in car-related industries, including Shanghai Oriental Auto Parts City Co., Ltd. from January 2009 to September 2012, Lamba (Napa-China) Auto Parts Chain Stores Co., Ltd. from September 2005 to December 2008, and Shanghai Oriental Auto Parts City Co., Ltd. from July 2003 to September 2005, where he oversaw commercial real estate operations, investment and financing, and other finance-related matters. Mr. Zhang received a bachelor’s degree from Shanghai Lixin University of Accounting and Finance in 2003. Mr. Zhang received an MBA degree from Donghua University in 2011 and a Master of Finance degree from Tulane University in 2018.</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Ms. Qin Zou </w:t>
      </w:r>
      <w:r>
        <w:rPr>
          <w:rFonts w:ascii="Times New Roman" w:cs="Times New Roman" w:eastAsia="Times New Roman" w:hAnsi="Times New Roman"/>
          <w:sz w:val="18"/>
          <w:szCs w:val="18"/>
          <w:color w:val="auto"/>
        </w:rPr>
        <w:t>has served as our chief financial officer since 2021 and our director since 2023. Prior to joining us, Ms. Zou was the founder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chief executive officer of </w:t>
      </w:r>
      <w:r>
        <w:rPr>
          <w:rFonts w:ascii="Times New Roman" w:cs="Times New Roman" w:eastAsia="Times New Roman" w:hAnsi="Times New Roman"/>
          <w:sz w:val="18"/>
          <w:szCs w:val="18"/>
          <w:i w:val="1"/>
          <w:iCs w:val="1"/>
          <w:color w:val="auto"/>
        </w:rPr>
        <w:t>myFlair</w:t>
      </w:r>
      <w:r>
        <w:rPr>
          <w:rFonts w:ascii="Times New Roman" w:cs="Times New Roman" w:eastAsia="Times New Roman" w:hAnsi="Times New Roman"/>
          <w:sz w:val="18"/>
          <w:szCs w:val="18"/>
          <w:color w:val="auto"/>
        </w:rPr>
        <w:t xml:space="preserve"> from 2018 to 2021. Prior to founding my Flair, Ms. Zou held several corporate executive positions from 2015 to 2017, including the chief financial officer of UCAR Inc. and the general counsel of the Lianjia Group. Prior to that, Ms. Zou practiced law at Davis Polk &amp; Wardwell LLP. Ms. Zou received a bachelor’s degree in law from Renmin University in 2002, a L.L.M. degree from Transactional Law and Business University in South Korea in 2004, and a J.D. degree,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xml:space="preserve"> from American University Washington College of Law in the United States in 2008.</w:t>
      </w:r>
    </w:p>
    <w:p>
      <w:pPr>
        <w:spacing w:after="0" w:line="183"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Ms. Bofei Kong </w:t>
      </w:r>
      <w:r>
        <w:rPr>
          <w:rFonts w:ascii="Times New Roman" w:cs="Times New Roman" w:eastAsia="Times New Roman" w:hAnsi="Times New Roman"/>
          <w:sz w:val="18"/>
          <w:szCs w:val="18"/>
          <w:color w:val="auto"/>
        </w:rPr>
        <w:t>co-founded our business with Mr. Junhong Yao and Mr. Liyu Zhang and currently serves as our senior vice president. Prior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Kong worked at Taobao from 2006 to 2012 where she played a</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40"/>
          </w:cols>
          <w:pgMar w:left="320" w:top="455"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significant role in founding Xianyu, previously known as Ershou.Taoboa.Com (“</w:t>
      </w:r>
      <w:r>
        <w:rPr>
          <w:rFonts w:ascii="SimSun" w:cs="SimSun" w:eastAsia="SimSun" w:hAnsi="SimSun"/>
          <w:sz w:val="16"/>
          <w:szCs w:val="16"/>
          <w:color w:val="auto"/>
        </w:rPr>
        <w:t>淘宝跳蚤街</w:t>
      </w:r>
      <w:r>
        <w:rPr>
          <w:rFonts w:ascii="Times New Roman" w:cs="Times New Roman" w:eastAsia="Times New Roman" w:hAnsi="Times New Roman"/>
          <w:sz w:val="18"/>
          <w:szCs w:val="18"/>
          <w:color w:val="auto"/>
        </w:rPr>
        <w:t>”), a leading second-hand transaction platform in China.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Kong received a bachelor’s degree in electronic information from Hangzhou Dianzi University in 2003.</w:t>
      </w:r>
    </w:p>
    <w:p>
      <w:pPr>
        <w:spacing w:after="0" w:line="21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Gang Ji </w:t>
      </w:r>
      <w:r>
        <w:rPr>
          <w:rFonts w:ascii="Times New Roman" w:cs="Times New Roman" w:eastAsia="Times New Roman" w:hAnsi="Times New Roman"/>
          <w:sz w:val="18"/>
          <w:szCs w:val="18"/>
          <w:color w:val="auto"/>
        </w:rPr>
        <w:t>has served as our director since 2022. He is currently a director at AGTech, ZhongAn Insurance, Orbbec and Hundsun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Ji has served as a vice president of Ant Group since 2016. Prior to that, Mr. Ji served as the vice president of Alibaba Group from 2008 to 2016, the vice president of Agile Partners from 2003 to 2007 and an investment associate of New Margin Ventures from 2000 to 2003. Mr. Ji received a bachelor’s degree in economics majoring in international business management from the University of International Business and Economics in 1997.</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Yu Cheng </w:t>
      </w:r>
      <w:r>
        <w:rPr>
          <w:rFonts w:ascii="Times New Roman" w:cs="Times New Roman" w:eastAsia="Times New Roman" w:hAnsi="Times New Roman"/>
          <w:sz w:val="18"/>
          <w:szCs w:val="18"/>
          <w:color w:val="auto"/>
        </w:rPr>
        <w:t>has served as our director since 2022. He is currently a founding partner of M23 Capital. Mr. Cheng is also a venture partner of 5Y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Mr. Cheng has more than 15 years of experience in venture capital and has been involved in a number of major investments in companies. Prior to joining 5Y Capital, Mr. Cheng was a vice president at Keytone Ventures from 2009 to 2012 and a senior investment manager at DFJ Dragon from 2007 to 2009. Mr. Cheng received a bachelor’s degree in electronic engineering from Southeast University in 1999.</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Jing Zhang </w:t>
      </w:r>
      <w:r>
        <w:rPr>
          <w:rFonts w:ascii="Times New Roman" w:cs="Times New Roman" w:eastAsia="Times New Roman" w:hAnsi="Times New Roman"/>
          <w:sz w:val="18"/>
          <w:szCs w:val="18"/>
          <w:color w:val="auto"/>
        </w:rPr>
        <w:t>has served as our director since 2022. Mr. Zhang is a founding member of Primavera Capital Group, or Primavera,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Primavera’s investments in consumer retail, advanced manufacturing and corporate services. He also co-chairs Primavera’s culture and human capital committee. Prior to joining Primavera, Mr. Zhang served in the special situation department and investment banking department of Morgan Stanley from July 2005 to December 2009. Mr. Zhang received a bachelor’s degree in management from Tsinghua University in 2003 and a master’s degree in accounting from Tsinghua University in 2005.</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Zhiming Lu </w:t>
      </w:r>
      <w:r>
        <w:rPr>
          <w:rFonts w:ascii="Times New Roman" w:cs="Times New Roman" w:eastAsia="Times New Roman" w:hAnsi="Times New Roman"/>
          <w:sz w:val="18"/>
          <w:szCs w:val="18"/>
          <w:color w:val="auto"/>
        </w:rPr>
        <w:t>has served as our director since 2023. He joined Warburg Pincus in 2014 and focuses on investments in the financial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 Mr. Lu is currently a director of Warburg Pincus. Prior to joining Warburg Pincus, Mr. Lu served as a senior investment manager of Headland Capital from 2011 to 2014 and a manager at Ernst &amp; Young from 2005 to 2011. Mr. Lu received a bachelor’s degree in financial management from Shanghai University of Finance and Economics in 2005.</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Ming Jin </w:t>
      </w:r>
      <w:r>
        <w:rPr>
          <w:rFonts w:ascii="Times New Roman" w:cs="Times New Roman" w:eastAsia="Times New Roman" w:hAnsi="Times New Roman"/>
          <w:sz w:val="18"/>
          <w:szCs w:val="18"/>
          <w:color w:val="auto"/>
        </w:rPr>
        <w:t>has served as our director since 2022. He founded Cygnus Equity in 2015, where he currently serves as the managing partner.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Cygnus Equity, Mr. Jin has been involved in numerous major investment projects, including Wacai, CARH, DSC, and IYunche. Prior to that, Mr. Jin served as the head of Providence Equity’s China business from September 2011 to November 2015, the director of Warburg Pincus from March 2008 to August 2011, and the financial manager of Unilever for South China / North China Region from August 2002 to December 2004. Mr. Jin received a bachelor’s degree in accounting from Tsinghua University in 2002.</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Yan Chen </w:t>
      </w:r>
      <w:r>
        <w:rPr>
          <w:rFonts w:ascii="Times New Roman" w:cs="Times New Roman" w:eastAsia="Times New Roman" w:hAnsi="Times New Roman"/>
          <w:sz w:val="18"/>
          <w:szCs w:val="18"/>
          <w:color w:val="auto"/>
        </w:rPr>
        <w:t>has served as our director since 2023. He has also been a managing partner at BAce Capital since January 2019. From June 2015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2020, Mr. Chen served as a managing director for India &amp; Global Strategic Alliance at Ant Financial. Prior to that, Mr. Chen served as a director at North Asia (Greater China) &amp; Global Strategic Account at Teoco from May 2012 to June 2015. He also acted as an executive director at the Mumbai headquarters of ZTE India from October 2005 to November 2011. Mr. Chen received a bachelor’s degree in computer science from Zhejiang University in 2004.</w:t>
      </w:r>
    </w:p>
    <w:p>
      <w:pPr>
        <w:spacing w:after="0" w:line="18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more information about certain shareholders’ rights to appoint directors to our Board, see “Description of Share Capital—Shareholders Agreement.” All such appointment rights will terminate upon the completion of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Each of our executive officers is employed for an indefinite term, unless terminated pursuant to the terms of the agreements or as mutually agreed by the parties thereto. We may terminate an executive officer’s employment for cause at any time without advance notice in certain events. We may terminate an executive officer’s employment by giving a prior written notice or by paying certain unpaid compensation. An executive officer may terminate his or her employment at any time by giving a prior written notice.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a specific period of time following the last date of employment.</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will consist of        directors, including         independent directors, namely,         , upon the SEC’s declaration of effectiveness of our registration statement on Form F-1, of which this prospectus forms a part. A director is not required to hold any shares in our company to qualify to serve as a director. The Corporate Governance Rules of the Nasdaq generally require that a majority of an issuer’s board of directors must consist of independent directors. However, the Corporate Governance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87"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intend to establish an audit committee, a compensation committee and a nominating and corporate governance committee under our board of directors immediately and adopt a charter for each of the three committees upon the effectiveness of our registration statement on Form F-1, of which this prospectus is a part. Each committee’s members and functions are described below.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xml:space="preserve">. Our audit committee will consist of            , and is chaired by            . We have determined that            and          </w:t>
      </w:r>
    </w:p>
    <w:p>
      <w:pPr>
        <w:spacing w:after="0" w:line="31" w:lineRule="exact"/>
        <w:rPr>
          <w:sz w:val="20"/>
          <w:szCs w:val="20"/>
          <w:color w:val="auto"/>
        </w:rPr>
      </w:pPr>
    </w:p>
    <w:p>
      <w:pPr>
        <w:jc w:val="both"/>
        <w:ind w:left="120" w:right="20"/>
        <w:spacing w:after="0" w:line="253" w:lineRule="auto"/>
        <w:rPr>
          <w:sz w:val="20"/>
          <w:szCs w:val="20"/>
          <w:color w:val="auto"/>
        </w:rPr>
      </w:pPr>
      <w:r>
        <w:rPr>
          <w:rFonts w:ascii="Times New Roman" w:cs="Times New Roman" w:eastAsia="Times New Roman" w:hAnsi="Times New Roman"/>
          <w:sz w:val="18"/>
          <w:szCs w:val="18"/>
          <w:color w:val="auto"/>
        </w:rPr>
        <w:t>satisfy the requirements of Section 303A of the Corporate Governance Rules of the Nasdaq and meet the independence standards under Rule 10A-3 under the Securities Exchange Act of 1934, as amended. We have determined that 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4" w:lineRule="exact"/>
        <w:rPr>
          <w:sz w:val="20"/>
          <w:szCs w:val="20"/>
          <w:color w:val="auto"/>
        </w:rPr>
      </w:pPr>
    </w:p>
    <w:p>
      <w:pPr>
        <w:ind w:left="1080" w:right="2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 at least annually;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written report from our independent auditor describing matters relating to its independence and quality control procedures;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financial statements for inclusion within our quarterly earnings releases and to our board for inclusion in our annual reports;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special steps taken to monitor and control major financial risk exposures;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reassessing the adequacy of the committee charter;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annual audit plans, and undertaking an annual performance evaluation of the internal audit function;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handling of complaints and whistleblowing;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221"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will consist of and is chaired by        . [We have determined that        satisfy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“independence” requirements of Section 303A of the Corporate Governance Rules of the Nasdaq.] The compensation committee assists the board in reviewing and approving the compensation structure, including all forms of compensation, relating to our directors and executive officers. The compensation committee is responsible for, among other things:</w:t>
      </w:r>
    </w:p>
    <w:p>
      <w:pPr>
        <w:spacing w:after="0" w:line="86" w:lineRule="exact"/>
        <w:rPr>
          <w:sz w:val="20"/>
          <w:szCs w:val="20"/>
          <w:color w:val="auto"/>
        </w:rPr>
      </w:pPr>
    </w:p>
    <w:p>
      <w:pPr>
        <w:ind w:left="5480" w:right="1760" w:hanging="4932"/>
        <w:spacing w:after="0" w:line="454" w:lineRule="auto"/>
        <w:tabs>
          <w:tab w:leader="none" w:pos="107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compensation programs in consultation with our management; 217</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approving, or recommending to the board for its approval, the compensation for our executive officers;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recommending to the board for determination with respect to the compensation of our non-executive directors;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periodically and approving any incentive compensation or equity plans, programs or other similar arrangements;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officer and director indemnification and insurance matters;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regulatory compliance with respect to compensation matters, including our policies on restrictions on compensation plans and loans to directors and executive officers;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reassessing the adequacy of the committee charter;</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221"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will consist of, and is chaired by .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determined that satisfy the “independence” requirements of Section 303A of the Corporate Governance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86" w:lineRule="exact"/>
        <w:rPr>
          <w:sz w:val="20"/>
          <w:szCs w:val="20"/>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expertise, diversity and availability of service to us;</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nominating and corporate governance committee itself;</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reassessing the adequacy of the committee charter;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at least annually the corporate governance principles adopted by the board and advising the board with respect to significant developments in the law and practice of corporate governance and our compliance with such laws and practices;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effectiveness of the board as a whole.]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post-offering amended and restated articles of association, the functions and powers of our board of directors include, among others, (i) convening shareholders’ annual general meetings and reporting its work to shareholders at such meetings, (ii) declaring dividends,</w:t>
      </w:r>
    </w:p>
    <w:p>
      <w:pPr>
        <w:spacing w:after="0" w:line="3" w:lineRule="exact"/>
        <w:rPr>
          <w:sz w:val="20"/>
          <w:szCs w:val="20"/>
          <w:color w:val="auto"/>
        </w:rPr>
      </w:pPr>
    </w:p>
    <w:p>
      <w:pPr>
        <w:jc w:val="both"/>
        <w:ind w:left="120" w:hanging="4"/>
        <w:spacing w:after="0" w:line="255" w:lineRule="auto"/>
        <w:tabs>
          <w:tab w:leader="none" w:pos="4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their terms of offices and responsibilities, and (iv) approving the transfer of shares of our company, including the registering of such shares in our share register. In addition, in the event of a tie vote, the chairman of our board of directors has, in addition to his personal vote, the right to cast a tie-breaking vote.]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A director shall hold office until the expiration of his or her term, if applicable, or his or her successor shall have been elected and qualified, or until his or her office is otherwise vacated. A director may be removed from office by [ordinary resolution] of shareholders [or the affirmative vote of a simple majority of the other directors present and voting at a board meeting]. [A director will be removed from office automatically if, among other things, the director (i) resigns by notice in writing to our company; (ii) dies, becomes bankrupt or makes any arrangement or composition with his or her creditors generally; (iii) is prohibited by any applicable law or stock exchange rules from being a director; (iv) is found to be or becomes of unsound mind; or (v) is removed from office pursuant to any other provision of our post offering amended and restated memorandum and articles of association.]]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Interested Transactions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 director may, subject to any separate requirement for audit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2022, we paid an aggregate of RMB5.3 million (US$0.7 million) in cash to our directors and executive officers. We have not set aside or accrued any amount to provide pension, retirement or other similar benefits to our directors and executive officers. Our PRC subsidiaries are required by law to make contributions equal to certain percentages of each employee’s salary for his or her pension insurance, medical insurance, unemployment insurance and other statutory benefits and a housing provident fund. For share incentive grants to our directors and executive officers, see “—Share Option Plans.”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Option Plans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Souche Incentive Plan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Souche Holdings Ltd adopted the Share Option Plan 2019, or the Souche Incentive Plan, in 2019. In October 2022, in connection with the Restructuring, the Company adopted the Share Option Plan 2022, or the 2022 Plan, which was subsequently amended and restated to mirror the Souche Incentive Plan. All of the then outstanding and unvested awards granted under the Souche Incentive Plan were reflected by the share-based awards granted under, and governed by the terms and conditions of, the 2022 Plan.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2023 Plan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adopted the 2022 Plan in October 2022. This plan was subsequently amended and restated in August 2023 (such plan, as amended and restated, the “2023 Plan”). The purpose of the 2023 Plan is to recognize and reward participants for their contribution to our company, to attract suitable personnel and to provide incentives to them to remain with and further contribute to us.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2023 Plan, the maximum number of ordinary shares we are authorized to issue pursuant to equity awards granted thereunder, subject to certain adjustments pursuant to the terms thereof, is 95,487,753 ordinary shares, which have been reserved for issuance pursuant to the 2023 Plan accordingly. The maximum number of shares under the 2023 Plan may be further increased or amended by the Board from time to time. As of the date of this prospectus, there are 79,479,455 ordinary shares issuable upon exercise of outstanding options or other share-based awards granted under the 2023 Plan, all of which reflected awards granted under the Souche Incentive Plan.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summarize the key terms of the 2023 Plan.</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2023 Plan permits the awards of options.</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The 2023 Plan shall be subject to the administration of Mr. Junhong Yao, the founder, in accordance with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2023 Plan.</w:t>
      </w:r>
    </w:p>
    <w:p>
      <w:pPr>
        <w:spacing w:after="0" w:line="155"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Equity awards authorized under the 2023 Plan may be granted to any full-time employee or any other persons who devote substantially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their time and efforts to our business, management and operation, as determined by the founder.</w:t>
      </w:r>
    </w:p>
    <w:p>
      <w:pPr>
        <w:spacing w:after="0" w:line="155"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 of Grant. </w:t>
      </w:r>
      <w:r>
        <w:rPr>
          <w:rFonts w:ascii="Times New Roman" w:cs="Times New Roman" w:eastAsia="Times New Roman" w:hAnsi="Times New Roman"/>
          <w:sz w:val="18"/>
          <w:szCs w:val="18"/>
          <w:color w:val="auto"/>
        </w:rPr>
        <w:t>Each award under the 2023 Plan shall be evidenced by a letter of offer, subject to modifications as the founder may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determine. The equity awards shall be deemed to have been granted and accepted and to have taken effect when an acceptance form is completed, signed and returned by the grantee, and is received by the Company at its principal office or such other address otherwise specified in the offer document on or before relevant applicable acceptance date. The equity awards underlying the 2023 Plan typically vest in four years and the grantees shall not exercise the equity awards before the completion of this offering.</w:t>
      </w:r>
    </w:p>
    <w:p>
      <w:pPr>
        <w:spacing w:after="0" w:line="179"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The equity award is personal to the grantee and shall not be assignable and no grantee shall in any way sell,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mortgage, encumber or create an interest (legal or beneficial) in favor of any third party over or in relation to any option grant or attempt so to do, except with the prior written consent of our founder from time to time.</w:t>
      </w:r>
    </w:p>
    <w:p>
      <w:pPr>
        <w:spacing w:after="0" w:line="171"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Power. </w:t>
      </w:r>
      <w:r>
        <w:rPr>
          <w:rFonts w:ascii="Times New Roman" w:cs="Times New Roman" w:eastAsia="Times New Roman" w:hAnsi="Times New Roman"/>
          <w:sz w:val="18"/>
          <w:szCs w:val="18"/>
          <w:color w:val="auto"/>
        </w:rPr>
        <w:t>The grantee irrevocably and unconditionally constitutes and appoints our founder with full power of substitution as the grantee’s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true and lawful attorney and irrevocable proxy, for and in the grantee’s name, to vote each of the shares allotted upon the exercise of an option as the grantee’s proxy, at every meeting of the shareholders of the Company or any adjournment thereof or in connection with any written consent of the Company’s shareholders.</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the 2023 Plan. </w:t>
      </w:r>
      <w:r>
        <w:rPr>
          <w:rFonts w:ascii="Times New Roman" w:cs="Times New Roman" w:eastAsia="Times New Roman" w:hAnsi="Times New Roman"/>
          <w:sz w:val="18"/>
          <w:szCs w:val="18"/>
          <w:color w:val="auto"/>
        </w:rPr>
        <w:t>The 2023 Plan may be altered in any respect by resolution of the Board, except for the provisions as otherwise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under the 2023 Plan.</w:t>
      </w:r>
    </w:p>
    <w:p>
      <w:pPr>
        <w:spacing w:after="0" w:line="15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the 2023 Plan. </w:t>
      </w:r>
      <w:r>
        <w:rPr>
          <w:rFonts w:ascii="Times New Roman" w:cs="Times New Roman" w:eastAsia="Times New Roman" w:hAnsi="Times New Roman"/>
          <w:sz w:val="18"/>
          <w:szCs w:val="18"/>
          <w:color w:val="auto"/>
        </w:rPr>
        <w:t>The Company, by ordinary resolution of the shareholders in general meeting or resolution of the Board, may at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terminate the operation of the 2023 Plan and in such event no further options will be offered but in all other respects the provisions of the 2023 Plan shall remain in force and options granted prior to such termination shall continue to be valid and exercisable in accordance with the 2023 Plan.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the date of this prospectus, the number of ordinary shares underlying outstanding options and other equity awards granted to our directors and executive officers under the 2023 Plan:</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Ordinary Shares</w:t>
            </w: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Date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Underlying Equity</w:t>
            </w:r>
          </w:p>
        </w:tc>
        <w:tc>
          <w:tcPr>
            <w:tcW w:w="2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Exercise Price (US$/Share)</w:t>
            </w: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Date of Grant</w:t>
            </w:r>
            <w:r>
              <w:rPr>
                <w:rFonts w:ascii="Times New Roman" w:cs="Times New Roman" w:eastAsia="Times New Roman" w:hAnsi="Times New Roman"/>
                <w:sz w:val="10"/>
                <w:szCs w:val="10"/>
                <w:color w:val="auto"/>
              </w:rPr>
              <w:t>(1)</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Awards Granted</w:t>
            </w:r>
          </w:p>
        </w:tc>
        <w:tc>
          <w:tcPr>
            <w:tcW w:w="232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Expiration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Junhong Yao</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0.21091 to 0.47958</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26, 2023</w:t>
            </w:r>
          </w:p>
        </w:tc>
        <w:tc>
          <w:tcPr>
            <w:tcW w:w="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 2032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Liyu Zhang</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0.00827 to 0.47958</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July 26, 2023</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October 1, 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 Zou</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0.0001 to 0.47958</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July 26, 2023</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October 1, 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Bofei Kong</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0.00827 to 0.47958</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July 26, 2023</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October 1, 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Gang Ji</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Yu Cheng</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 Zhang</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Zhiming Lu</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Ming Jin</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Yan Chen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20,631,557</w:t>
            </w: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From 0.0001 to 0.47958</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July 26, 2023</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October 1, 2032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Note:   * Less than 1% of our total issued and outstanding shares.</w:t>
      </w:r>
    </w:p>
    <w:p>
      <w:pPr>
        <w:spacing w:after="0" w:line="27" w:lineRule="exact"/>
        <w:rPr>
          <w:sz w:val="20"/>
          <w:szCs w:val="20"/>
          <w:color w:val="auto"/>
        </w:rPr>
      </w:pPr>
    </w:p>
    <w:p>
      <w:pPr>
        <w:ind w:left="1420" w:right="20" w:hanging="312"/>
        <w:spacing w:after="0" w:line="260" w:lineRule="auto"/>
        <w:tabs>
          <w:tab w:leader="none" w:pos="1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26, 2023, we granted these individuals options under the 2023 Plan to reflect the share-based awards granted under the Souche Incentive Plan. For details, see “Management—Share Option Plans.”</w:t>
      </w:r>
    </w:p>
    <w:p>
      <w:pPr>
        <w:spacing w:after="0" w:line="18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employees and other qualified individuals other than directors and executive officers as a group held options to acquire a total of 58,847,898 ordinary shares granted under the 2023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Yunyang Warrants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2020, in connection with its acquisition of Beijing Yunyang Information Technology Co., Ltd., or Yunyang, Souche Holdings Ltd issued warrants to purchase ordinary shares of Souche Holdings Ltd to the founder and certain key employees of Yunyang (the “Yunyang Souche Warrants”). Among these Yunyang Souche Warrants, 1,444,448 warrants were issued to employees of Beijing Yunyang as share-based awards for their services subsequent to such acquisition and are exercisable upon our initial public offering. 224,219 Yunyang Souche Warrants were subsequently forfeited. As part of the Restructuring, in October 2022, the Company authorized and reserved an aggregate of 2,507,698 ordinary shares for issuance of warrants (the “Yunyang Warrants”) to these individuals to mirror their Yunyang Souche Warrants then outstanding held in Souche Holdings Ltd. As of the date of this prospectus, Yunyang Warrants to purchase 2,283,479 shares of the Company remained outstanding.</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discussions of our accounting estimates for awards granted pursuant to our share option plans, see “Management’s Discussion and Analysis of Financial Condition and Results of Operations—Critical Accounting Estimates—Share-based compensation.”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on an as-converted basis as of the date of this prospectus by:</w:t>
      </w:r>
    </w:p>
    <w:p>
      <w:pPr>
        <w:spacing w:after="0" w:line="67" w:lineRule="exact"/>
        <w:rPr>
          <w:sz w:val="20"/>
          <w:szCs w:val="20"/>
          <w:color w:val="auto"/>
        </w:rPr>
      </w:pPr>
    </w:p>
    <w:p>
      <w:pPr>
        <w:ind w:left="1080" w:hanging="532"/>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(including director nominee(s)) and executive officers;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(i) 941,449,847 ordinary shares on an as-converted basis outstanding as of the date of this prospectus, and (ii)        Class A ordinary shares and 331,292,603 Class B ordinary shares issued and outstanding immediately after the completion of this offering, including        Class A ordinary shares to be sold by us in this offering in the form of ADSs, assuming that the underwriters do not exercise their option to purchase additional ADSs.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vMerge w:val="restart"/>
          </w:tcPr>
          <w:p>
            <w:pPr>
              <w:jc w:val="center"/>
              <w:ind w:left="406"/>
              <w:spacing w:after="0"/>
              <w:rPr>
                <w:sz w:val="20"/>
                <w:szCs w:val="20"/>
                <w:color w:val="auto"/>
              </w:rPr>
            </w:pPr>
            <w:r>
              <w:rPr>
                <w:rFonts w:ascii="Times New Roman" w:cs="Times New Roman" w:eastAsia="Times New Roman" w:hAnsi="Times New Roman"/>
                <w:sz w:val="14"/>
                <w:szCs w:val="14"/>
                <w:color w:val="auto"/>
              </w:rPr>
              <w:t>Class A</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vMerge w:val="restart"/>
          </w:tcPr>
          <w:p>
            <w:pPr>
              <w:jc w:val="center"/>
              <w:ind w:left="486"/>
              <w:spacing w:after="0"/>
              <w:rPr>
                <w:sz w:val="20"/>
                <w:szCs w:val="20"/>
                <w:color w:val="auto"/>
              </w:rPr>
            </w:pPr>
            <w:r>
              <w:rPr>
                <w:rFonts w:ascii="Times New Roman" w:cs="Times New Roman" w:eastAsia="Times New Roman" w:hAnsi="Times New Roman"/>
                <w:sz w:val="14"/>
                <w:szCs w:val="14"/>
                <w:color w:val="auto"/>
              </w:rPr>
              <w:t>Class B</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percentage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left="406"/>
              <w:spacing w:after="0" w:line="149" w:lineRule="exact"/>
              <w:rPr>
                <w:sz w:val="20"/>
                <w:szCs w:val="20"/>
                <w:color w:val="auto"/>
              </w:rPr>
            </w:pPr>
            <w:r>
              <w:rPr>
                <w:rFonts w:ascii="Times New Roman" w:cs="Times New Roman" w:eastAsia="Times New Roman" w:hAnsi="Times New Roman"/>
                <w:sz w:val="14"/>
                <w:szCs w:val="14"/>
                <w:color w:val="auto"/>
                <w:w w:val="98"/>
              </w:rPr>
              <w:t>Ordinary</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tcPr>
          <w:p>
            <w:pPr>
              <w:jc w:val="center"/>
              <w:ind w:left="426"/>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w w:val="97"/>
              </w:rPr>
              <w:t>Voting</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300" w:type="dxa"/>
            <w:vAlign w:val="bottom"/>
            <w:gridSpan w:val="3"/>
            <w:vMerge w:val="restart"/>
          </w:tcPr>
          <w:p>
            <w:pPr>
              <w:jc w:val="center"/>
              <w:ind w:left="273"/>
              <w:spacing w:after="0"/>
              <w:rPr>
                <w:sz w:val="20"/>
                <w:szCs w:val="20"/>
                <w:color w:val="auto"/>
              </w:rPr>
            </w:pPr>
            <w:r>
              <w:rPr>
                <w:rFonts w:ascii="Times New Roman" w:cs="Times New Roman" w:eastAsia="Times New Roman" w:hAnsi="Times New Roman"/>
                <w:sz w:val="14"/>
                <w:szCs w:val="14"/>
                <w:color w:val="auto"/>
              </w:rPr>
              <w:t>Ordinary Shares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left="466"/>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left="466"/>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Beneficial</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170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Ownership</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Power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82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Beneficially Owned Prior</w:t>
            </w:r>
          </w:p>
        </w:tc>
        <w:tc>
          <w:tcPr>
            <w:tcW w:w="166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Owned After</w:t>
            </w:r>
          </w:p>
        </w:tc>
        <w:tc>
          <w:tcPr>
            <w:tcW w:w="170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Owned After</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After This</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After This</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300" w:type="dxa"/>
            <w:vAlign w:val="bottom"/>
            <w:gridSpan w:val="3"/>
          </w:tcPr>
          <w:p>
            <w:pPr>
              <w:jc w:val="center"/>
              <w:ind w:left="253"/>
              <w:spacing w:after="0"/>
              <w:rPr>
                <w:sz w:val="20"/>
                <w:szCs w:val="20"/>
                <w:color w:val="auto"/>
              </w:rPr>
            </w:pPr>
            <w:r>
              <w:rPr>
                <w:rFonts w:ascii="Times New Roman" w:cs="Times New Roman" w:eastAsia="Times New Roman" w:hAnsi="Times New Roman"/>
                <w:sz w:val="14"/>
                <w:szCs w:val="14"/>
                <w:color w:val="auto"/>
              </w:rPr>
              <w:t>to This Offering</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This Offering</w:t>
            </w:r>
          </w:p>
        </w:tc>
        <w:tc>
          <w:tcPr>
            <w:tcW w:w="17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This Offering</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Offering</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Offering***</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300" w:type="dxa"/>
            <w:vAlign w:val="bottom"/>
            <w:tcBorders>
              <w:top w:val="single" w:sz="8" w:color="auto"/>
            </w:tcBorders>
            <w:gridSpan w:val="3"/>
          </w:tcPr>
          <w:p>
            <w:pPr>
              <w:ind w:left="300"/>
              <w:spacing w:after="0" w:line="142" w:lineRule="exact"/>
              <w:rPr>
                <w:sz w:val="20"/>
                <w:szCs w:val="20"/>
                <w:color w:val="auto"/>
              </w:rPr>
            </w:pPr>
            <w:r>
              <w:rPr>
                <w:rFonts w:ascii="Times New Roman" w:cs="Times New Roman" w:eastAsia="Times New Roman" w:hAnsi="Times New Roman"/>
                <w:sz w:val="14"/>
                <w:szCs w:val="14"/>
                <w:color w:val="auto"/>
              </w:rPr>
              <w:t>Number</w:t>
            </w: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rPr>
              <w:t>Number</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rPr>
              <w:t>Number</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 †:</w:t>
            </w: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Junhong Yao</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345,532,913</w:t>
            </w:r>
          </w:p>
        </w:tc>
        <w:tc>
          <w:tcPr>
            <w:tcW w:w="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Liyu Zhang</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Qin Zou</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Bofei Kong</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Gang Ji</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 Cheng</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Jing Zhang</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Zhiming Lu</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Ming Jin</w:t>
            </w:r>
            <w:r>
              <w:rPr>
                <w:rFonts w:ascii="Times New Roman" w:cs="Times New Roman" w:eastAsia="Times New Roman" w:hAnsi="Times New Roman"/>
                <w:sz w:val="25"/>
                <w:szCs w:val="25"/>
                <w:color w:val="auto"/>
                <w:vertAlign w:val="superscript"/>
              </w:rPr>
              <w:t>(2)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57,923,923</w:t>
            </w:r>
          </w:p>
        </w:tc>
        <w:tc>
          <w:tcPr>
            <w:tcW w:w="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Chen</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408,456,836</w:t>
            </w:r>
          </w:p>
        </w:tc>
        <w:tc>
          <w:tcPr>
            <w:tcW w:w="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Binary Sky Limited</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345,532,913</w:t>
            </w:r>
          </w:p>
        </w:tc>
        <w:tc>
          <w:tcPr>
            <w:tcW w:w="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5Y Capital Entities</w:t>
            </w:r>
            <w:r>
              <w:rPr>
                <w:rFonts w:ascii="Times New Roman" w:cs="Times New Roman" w:eastAsia="Times New Roman" w:hAnsi="Times New Roman"/>
                <w:sz w:val="25"/>
                <w:szCs w:val="25"/>
                <w:color w:val="auto"/>
                <w:vertAlign w:val="superscript"/>
              </w:rPr>
              <w:t>(3)</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94,171,764</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Warburg Pincus Entities</w:t>
            </w:r>
            <w:r>
              <w:rPr>
                <w:rFonts w:ascii="Times New Roman" w:cs="Times New Roman" w:eastAsia="Times New Roman" w:hAnsi="Times New Roman"/>
                <w:sz w:val="25"/>
                <w:szCs w:val="25"/>
                <w:color w:val="auto"/>
                <w:vertAlign w:val="superscript"/>
              </w:rPr>
              <w:t>(4)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89,229,380</w:t>
            </w:r>
          </w:p>
        </w:tc>
        <w:tc>
          <w:tcPr>
            <w:tcW w:w="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API (HONG KONG) INVESTMENT LIMITED</w:t>
            </w:r>
            <w:r>
              <w:rPr>
                <w:rFonts w:ascii="Times New Roman" w:cs="Times New Roman" w:eastAsia="Times New Roman" w:hAnsi="Times New Roman"/>
                <w:sz w:val="25"/>
                <w:szCs w:val="25"/>
                <w:color w:val="auto"/>
                <w:vertAlign w:val="superscript"/>
              </w:rPr>
              <w:t>(5)</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88,188,400</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Primavera Entities</w:t>
            </w:r>
            <w:r>
              <w:rPr>
                <w:rFonts w:ascii="Times New Roman" w:cs="Times New Roman" w:eastAsia="Times New Roman" w:hAnsi="Times New Roman"/>
                <w:sz w:val="25"/>
                <w:szCs w:val="25"/>
                <w:color w:val="auto"/>
                <w:vertAlign w:val="superscript"/>
              </w:rPr>
              <w:t>(6)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65,666,237</w:t>
            </w:r>
          </w:p>
        </w:tc>
        <w:tc>
          <w:tcPr>
            <w:tcW w:w="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Cygnus Entities</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57,079,724</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Notes:   * Less than 1% of our total outstanding shares on an as-converted basis.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880" w:hanging="404"/>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table, percentage ownership is calculated by dividing the number of shares beneficially owned by</w:t>
      </w:r>
    </w:p>
    <w:p>
      <w:pPr>
        <w:spacing w:after="0" w:line="27" w:lineRule="exact"/>
        <w:rPr>
          <w:sz w:val="20"/>
          <w:szCs w:val="20"/>
          <w:color w:val="auto"/>
        </w:rPr>
      </w:pPr>
    </w:p>
    <w:p>
      <w:pPr>
        <w:jc w:val="both"/>
        <w:ind w:left="880" w:right="20"/>
        <w:spacing w:after="0" w:line="250" w:lineRule="auto"/>
        <w:rPr>
          <w:sz w:val="20"/>
          <w:szCs w:val="20"/>
          <w:color w:val="auto"/>
        </w:rPr>
      </w:pPr>
      <w:r>
        <w:rPr>
          <w:rFonts w:ascii="Times New Roman" w:cs="Times New Roman" w:eastAsia="Times New Roman" w:hAnsi="Times New Roman"/>
          <w:sz w:val="18"/>
          <w:szCs w:val="18"/>
          <w:color w:val="auto"/>
        </w:rPr>
        <w:t>such person or group by the sum of (i) 941,449,847, being the number of ordinary shares on an as-converted basis outstanding as of the date of this prospectus, or        , being the number of ordinary shares on an as-converted basis outstanding immediately after the completion of this offering, as the case may be, and (ii) the number of ordinary shares underlying share options held by such person or group that are exercisable within 60 days after the date of this prospectus. For more information about how we calculate the number of ordinary shares on an as-converted basis outstanding immediately after the completion of this offering, see “Summary—The Offering.”</w:t>
      </w:r>
    </w:p>
    <w:p>
      <w:pPr>
        <w:spacing w:after="0" w:line="2" w:lineRule="exact"/>
        <w:rPr>
          <w:sz w:val="20"/>
          <w:szCs w:val="20"/>
          <w:color w:val="auto"/>
        </w:rPr>
      </w:pPr>
    </w:p>
    <w:p>
      <w:pPr>
        <w:ind w:left="880" w:right="20" w:hanging="494"/>
        <w:spacing w:after="0" w:line="250" w:lineRule="auto"/>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ordinary shares as a single class.</w:t>
      </w:r>
    </w:p>
    <w:p>
      <w:pPr>
        <w:spacing w:after="0" w:line="1" w:lineRule="exact"/>
        <w:rPr>
          <w:sz w:val="20"/>
          <w:szCs w:val="20"/>
          <w:color w:val="auto"/>
        </w:rPr>
      </w:pPr>
    </w:p>
    <w:p>
      <w:pPr>
        <w:ind w:left="880" w:right="20" w:hanging="314"/>
        <w:spacing w:after="0" w:line="260" w:lineRule="auto"/>
        <w:tabs>
          <w:tab w:leader="none" w:pos="8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business address of our directors and executive officers is No. 2 Wangjiang North Road, Room 148, Zhongshan Community, Baiyun Street, Dongyang, Jinhua City, Zhejiang Province, China.</w:t>
      </w:r>
    </w:p>
    <w:p>
      <w:pPr>
        <w:spacing w:after="0" w:line="181" w:lineRule="exact"/>
        <w:rPr>
          <w:rFonts w:ascii="Times New Roman" w:cs="Times New Roman" w:eastAsia="Times New Roman" w:hAnsi="Times New Roman"/>
          <w:sz w:val="18"/>
          <w:szCs w:val="18"/>
          <w:color w:val="auto"/>
        </w:rPr>
      </w:pPr>
    </w:p>
    <w:p>
      <w:pPr>
        <w:jc w:val="both"/>
        <w:ind w:left="120" w:hanging="4"/>
        <w:spacing w:after="0" w:line="252" w:lineRule="auto"/>
        <w:tabs>
          <w:tab w:leader="none" w:pos="3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beneficially owned by Mr. Junhong Yao represents the sum of (i) 108,330,350 ordinary shares and 1,132,736 Series F preferred shares (convertible into 1,139,559 ordinary shares after giving effect to certain anti-dilution mechanism) held of record by Binary Sky Limited, a company registered in British Virgin Islands; (ii) an aggregate of 14,235,256 ordinary shares and/or preferred shares (convertible into an aggregate of 14,240,310 ordinary shares after giving effect to certain anti-dilution mechanism) held of record by certain minority shareholders of our company; and (iii) 108,466,752 Series E-1 preferred shares, 96,088,171 Series E-2 preferred shares and 17,239,717 Series E-3 preferred shares (convertible into 17,267,771 ordinary shares after giving effect to certain anti-dilution mechanism), held by Cheche Group Limited, a company organized under the laws of the British Virgin Island. Binary Sky Limited is wholly owned by Octonary Ocean Limited, which is in turn wholly owned by a discretionary trust for which TMF (Cayman) Ltd. acts as the trustee. Mr. Yao is the settlor and the first protector of such discretionary trust, retaining the investment and dispositive powers with respect to the assets of the trust. Mr. Yao and his family are the beneficiaries of the trust. The voting power of the foregoing 14,235,256 ordinary shares and/or preferred shares held by record by certain minority shareholders is vested with Binary Sky Limited and therefore, Binary Sky Limited may be deemed to beneficially own these shares. Mr. Yao and Binary Sky Limited disclaim the pecuniary ownership for such 14,235,256 ordinary shares and/or preferred shares. Cheche Group Limited is controlled by Binary Sky Limited. In September 2023, Cheche Group Limited acquired the aforesaid Series E-1, Series E-2 and Series E-3 preferred shares from Weimarer Limited. The registered address of Binary Sky Limited is Kingston Chambers, PO Box 173, Road Town, Tortola, British Virgin Islands. The registered address of Cheche Group Limited is Kingston Chambers, PO Box 173, Road Town, Tortola, British Virgin Islands.</w:t>
      </w:r>
    </w:p>
    <w:p>
      <w:pPr>
        <w:spacing w:after="0" w:line="195" w:lineRule="exact"/>
        <w:rPr>
          <w:rFonts w:ascii="Times New Roman" w:cs="Times New Roman" w:eastAsia="Times New Roman" w:hAnsi="Times New Roman"/>
          <w:sz w:val="18"/>
          <w:szCs w:val="18"/>
          <w:color w:val="auto"/>
        </w:rPr>
      </w:pPr>
    </w:p>
    <w:p>
      <w:pPr>
        <w:jc w:val="both"/>
        <w:ind w:left="120" w:hanging="4"/>
        <w:spacing w:after="0" w:line="253" w:lineRule="auto"/>
        <w:tabs>
          <w:tab w:leader="none" w:pos="3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7,522,530 Series D-1 preferred shares held by Doyen Cygnus Education Fund, L.P., a limited partnership organized under the laws of Cayman Islands; (ii) 19,842,390 Series D-1 preferred shares held by Cygnus Equity Sport I, L.P., a limited partnership organized under the laws of Cayman Islands; (iii) 13,228,260 Series D-1 preferred shares held by Cygnus Equity Sport II, L.P., a limited partnership organized under the laws of Cayman Islands; (iv) 9,709,376 Series E-2 preferred shares held by Cygnus Equity Fund III, L.P., a limited partnership organized under the laws of Cayman Islands; to our knowledge, Cygnus Equity Fund III, L.P. holds a 64.5% interest in CMBI Private Equity Series SPC; (v) 6,736,592 Series F preferred shares (convertible into 6,777,168 ordinary shares after giving effect to certain anti-dilution mechanism) held by Cygnus Equity Fund IV, L.P., a limited partnership organized under the laws of Cayman Islands; and (vi) 839,145 Series F preferred shares (convertible into 844,199 ordinary shares after giving effect to certain anti-dilution mechanism) held by Jin Capital Limited, a company registered in British Virgin Islands. Each of Doyen Cygnus Education Fund, L.P., Cygnus Equity Sport I, L.P., Cygnus Equity Sport II, L.P., Cygnus Equity Fund III, L.P. and Cygnus Equity Fund IV, L.P. is ultimately controlled by Cygnus Equity GP, Ltd. Cygnus Equity GP, Ltd. is managed by its board consisting of two individuals, including Mr. Ming Jin who can independently make investment decisions on behalf of Cygnus Equity GP, Ltd. Cygnus Equity GP, Ltd. is controlled by Cygnus Equity Holdings Limited, which, in turn, is controlled by Jin Capital Limited. Jin Capital Limited is ultimately controlled by Mr. Jin.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voting right of the 839,145 Series F preferred shares held by record of Jin Capital Limited has been vested with Mr. Junhong Yao. The registered address of Doyen Cygnus Education Fund, L.P., Cygnus Equity Sport I, L.P., Cygnus Equity Sport II, L.P., Cygnus Equity Fund III, L.P. and Cygnus Equity Fund IV, L.P. is 2nd Floor, Strathvale House, 90 North Church Street, P.O. Box 1103, George Town, Grand Cayman KY1-1102, Cayman Islands. The registered address of Jin Capital Limited is Craigmuir Chambers, Road Town, Tortola, VG 1110, British Virgin Islands.</w:t>
      </w:r>
    </w:p>
    <w:p>
      <w:pPr>
        <w:spacing w:after="0" w:line="180" w:lineRule="exact"/>
        <w:rPr>
          <w:sz w:val="20"/>
          <w:szCs w:val="20"/>
          <w:color w:val="auto"/>
        </w:rPr>
      </w:pPr>
    </w:p>
    <w:p>
      <w:pPr>
        <w:jc w:val="both"/>
        <w:ind w:left="120" w:hanging="4"/>
        <w:spacing w:after="0" w:line="252" w:lineRule="auto"/>
        <w:tabs>
          <w:tab w:leader="none" w:pos="39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46,135,648 Series A-2 preferred shares held by Morningside China TMT Fund II, L.P., an exempted limited partnership organized under the laws of Cayman Islands; (ii) 9,787,470 Series B preferred shares held by Morningside China TMT Fund II, L.P.; (iii) 6,614,130 Series D-1 preferred shares held by Morningside China TMT Fund II, L.P.; (iv) 4,409,420 Series D-1 preferred shares held by Morningside China TMT Top Up Fund, L.P., an exempted limited partnership organized under the laws of Cayman Islands; (v) 25,859,576 Series E-3 preferred shares (convertible into 25,901,657 ordinary shares after giving effect to certain anti-dilution mechanism) held by MSVC SPF I, L.P., an exempted limited partnership established under the laws of Cayman Islands; and (vi) 1,315,515 Series F preferred shares (convertible into 1,323,439 ordinary shares after giving effect to certain anti-dilution mechanism) held by Morningside China TMT Fund II, L.P. Each of Morningside China TMT Fund II, L.P. and Morningside China TMT Top Up Fund, L.P. is controlled by Morningside China TMT GP II, L.P., their general partner. Morningside China TMT GP II, L.P. is, in turn, controlled by TMT General Partner Ltd., its general partner. MSVC SPF I, L.P. is controlled by MSVC SPF I GP, L.P., its general partner. MSVC SPF I GP, L.P. is controlled by TMT General Partner Ltd., its general partner. TMT General Partner Ltd. is controlled by its board consisting of four individuals, including Jianming Shi, Qin Liu, Gerald Lokchung Chan and Makim Wai On Andrew Ma, who have the voting and dispositive powers over the shares held by Morningside China TMT Fund II, L.P., Morningside China TMT Top Up Fund. L.P. and MSVC SPF I, L.P. The registered office of Morningside China TMT Fund II, L.P., Morningside China TMT Top Up Fund, L.P. and MSVC SPF I, L.P. is PO Box 1350, Windward 3, Regatta Office Park, Grand Cayman KY1-1108, Cayman Islands.</w:t>
      </w:r>
    </w:p>
    <w:p>
      <w:pPr>
        <w:spacing w:after="0" w:line="197" w:lineRule="exact"/>
        <w:rPr>
          <w:rFonts w:ascii="Times New Roman" w:cs="Times New Roman" w:eastAsia="Times New Roman" w:hAnsi="Times New Roman"/>
          <w:sz w:val="18"/>
          <w:szCs w:val="18"/>
          <w:color w:val="auto"/>
        </w:rPr>
      </w:pPr>
    </w:p>
    <w:p>
      <w:pPr>
        <w:jc w:val="both"/>
        <w:ind w:left="120" w:hanging="4"/>
        <w:spacing w:after="0" w:line="254" w:lineRule="auto"/>
        <w:tabs>
          <w:tab w:leader="none" w:pos="3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1,500,000 ordinary shares, 44,094,200 Series D-1 preferred shares, and 43,635,180 Series E-2 preferred shares held by Crystal Gem Holdings Limited, a company organized under the laws of the British Virgin Islands. Warburg Pincus China (Cayman), L.P. holds approximately 45.7% of Crystal Gem Holdings Limited. The general partner of Warburg Pincus China (Cayman), L.P. is Warburg Pincus (Cayman) China GP, L.P., the general partner of which is Warburg Pincus (Cayman) China GP LLC. The managing member of Warburg Pincus (Cayman) China GP LLC is Warburg Pincus Partners II (Cayman), L.P., the general partner of which is Warburg Pincus (Bermuda) Private Equity GP Ltd. Charles R. Kaye is the sole director and chairman of Warburg Pincus (Bermuda) Private Equity GP Ltd., ultimate general partner of Warburg Pincus China (Cayman), L.P., managing member and chief executive officer of Warburg Pincus LLC and may be deemed to control the Warburg Pincus entities. Mr. Kaye disclaims beneficial ownership of all shares held by the Warburg Pincus entities. The address of the Warburg Pincus entities is 450 Lexington Avenue, New York, New York 10017. The registered office of Crystal Gem Holdings Limited is P.O. Box 3340, Road Town, Tortola, British Virgin Islands.</w:t>
      </w:r>
    </w:p>
    <w:p>
      <w:pPr>
        <w:spacing w:after="0" w:line="188" w:lineRule="exact"/>
        <w:rPr>
          <w:rFonts w:ascii="Times New Roman" w:cs="Times New Roman" w:eastAsia="Times New Roman" w:hAnsi="Times New Roman"/>
          <w:sz w:val="18"/>
          <w:szCs w:val="18"/>
          <w:color w:val="auto"/>
        </w:rPr>
      </w:pPr>
    </w:p>
    <w:p>
      <w:pPr>
        <w:jc w:val="both"/>
        <w:ind w:left="120" w:right="20" w:hanging="4"/>
        <w:spacing w:after="0" w:line="258" w:lineRule="auto"/>
        <w:tabs>
          <w:tab w:leader="none" w:pos="38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88,188,400 Series D preferred shares held by API (HONG KONG) INVESTMENT LIMITED, a limited liability company incorporated under Hong Kong. API (HONG KONG) INVESTMENT LIMITED is wholly owned by Ant Group Co., Ltd. Ant Group Co., Ltd.’s board consists of eight individuals, namely Eric Xiandong JING, Cyril Xinyi HAN, Joe TSAI, Li CHENG, Quan HAO, Yiping HUANG, Xiaolei YANG and Laura May-Lung CHA. The registered office of API (HONG KONG) INVESTMENT LIMITED is 26/F, Tower One, Times Square, 1 Matheson Street, Causeway Bay, Hong Kong.</w:t>
      </w:r>
    </w:p>
    <w:p>
      <w:pPr>
        <w:spacing w:after="0" w:line="183" w:lineRule="exact"/>
        <w:rPr>
          <w:rFonts w:ascii="Times New Roman" w:cs="Times New Roman" w:eastAsia="Times New Roman" w:hAnsi="Times New Roman"/>
          <w:sz w:val="18"/>
          <w:szCs w:val="18"/>
          <w:color w:val="auto"/>
        </w:rPr>
      </w:pPr>
    </w:p>
    <w:p>
      <w:pPr>
        <w:jc w:val="both"/>
        <w:ind w:left="120" w:right="20" w:hanging="4"/>
        <w:spacing w:after="0" w:line="266" w:lineRule="auto"/>
        <w:tabs>
          <w:tab w:leader="none" w:pos="39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11,023,550 Series D-1 preferred shares and 11,283,795 Series E-2 preferred shares held by PV Milky Way Limited, a company organized under the laws of the British Virgin Islands; and (ii) 43,099,293 Series F preferred shares (convertible into 43,358,892 ordinary shares after giving effect to certain anti-dilution mechanism) held by PV Gearbox II Limited, a company organized under the laws of the British Virgin Islands.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PV Milky Way Limited is a wholly-owned subsidiary of Primavera Capital Fund II L.P., the general partner of which is Primavera Capital GP II Ltd. Primavera Capital GP II Ltd. is controlled by its board consisting of three individuals, including Zuliu Hu, Richard Alvah Ruffer Jr. and Leon Dwayne Rhule, who have the voting power and dispositive power over the shares held by PV Milky Way Limited. PV Gearbox II Limited is a wholly-owned subsidiary of Primavera Capital Fund III L.P., the general partner of which is Primavera Capital GP III Ltd. Primavera Capital GP III Ltd. is controlled by its board consisting of three individuals, including Zuliu Hu, Richard Alvah Ruffer Jr. and Leon Dwayne Rhule, who have the voting power and dispositive power over the shares held by PV Gear Box II Limited. The registered office of PV Milky Way Limited is Vista Corporate Services Center, Wickhams Cay II, Road Town, Tortola, VG1110, British Virgin Islands. The registered office of PV Gearbox II Limited is Vista Corporate Services Center, Wickhams Cay II, Road Town, Tortola, VG1110, British Virgin Islands.</w:t>
      </w:r>
    </w:p>
    <w:p>
      <w:pPr>
        <w:spacing w:after="0" w:line="192" w:lineRule="exact"/>
        <w:rPr>
          <w:sz w:val="20"/>
          <w:szCs w:val="20"/>
          <w:color w:val="auto"/>
        </w:rPr>
      </w:pPr>
    </w:p>
    <w:p>
      <w:pPr>
        <w:jc w:val="both"/>
        <w:ind w:left="120" w:right="20" w:hanging="4"/>
        <w:spacing w:after="0" w:line="253" w:lineRule="auto"/>
        <w:tabs>
          <w:tab w:leader="none" w:pos="37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7,522,530 Series D-1 preferred shares held by Doyen Cygnus Education Fund, L.P., a limited partnership organized under the laws of Cayman Islands; (ii) 19,842,390 Series D-1 preferred shares held by Cygnus Equity Sport I, L.P., a limited partnership organized under the laws of Cayman Islands; (iii) 13,228,260 Series D-1 preferred shares held by Cygnus Equity Sport II, L.P., a limited partnership organized under the laws of Cayman Islands; (iv) 9,709,376 Series E-2 preferred shares held by Cygnus Equity Fund III, L.P., a limited partnership organized under the laws of Cayman Islands; to our knowledge, Cygnus Equity Fund III, L.P. holds a 64.5% interest in CMBI Private Equity Series SPC; and (v) 6,736,592 Series F preferred shares (convertible into 6,777,168 ordinary shares after giving effect to certain anti-dilution mechanism) held by Cygnus Equity Fund IV, L.P., a limited partnership organized under the laws of Cayman Islands. Each of Doyen Cygnus Education Fund, L.P., Cygnus Equity Sport I, L.P., Cygnus Equity Sport II, L.P., Cygnus Equity Fund III, L.P. and Cygnus Equity Fund IV, L.P. is ultimately controlled by Cygnus Equity GP, Ltd. Cygnus Equity GP, Ltd. is managed by its board consisting of two individuals, including Mr. Jin who can independently make investment decisions on behalf of Cygnus Equity GP, Ltd. The registered address of Doyen Cygnus Education Fund, L.P., Cygnus Equity Sport I, L.P., Cygnus Equity Sport II, L.P., Cygnus Equity Fund III, L.P. and Cygnus Equity Fund IV, L.P. is 2nd Floor, Strathvale House, 90 North Church Street, P.O. Box 1103, George Town, Grand Cayman KY1-1102, Cayman Islands.</w:t>
      </w:r>
    </w:p>
    <w:p>
      <w:pPr>
        <w:spacing w:after="0" w:line="19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none of our issued and outstanding ordinary shares are held by record holders in the United States. None of our shareholders has informed us that it is affiliated with a member of Financial Industry Regulatory Authority, or FINRA. We are not aware of any arrangement that may, at a subsequent date, result in a change of control of our company. For a description of issuances of our securities, see “Description of Share Capital—History of Securities Issuances.”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“Management—Employment Agreements and Indemnification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“Description of Share Capital—History of Securities Issuances.”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“Management—Share Option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“Corporate History and Structure.”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Related Party Transaction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ordinary course of business, from time to time, we carry out other transactions and enter into other arrangements with other related parties.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 of these transactions or arrangements are considered to be material except for the following.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 with us as of June 30, 2023.</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related parties</w:t>
            </w:r>
          </w:p>
        </w:tc>
        <w:tc>
          <w:tcPr>
            <w:tcW w:w="4220" w:type="dxa"/>
            <w:vAlign w:val="bottom"/>
          </w:tcPr>
          <w:p>
            <w:pPr>
              <w:spacing w:after="0"/>
              <w:rPr>
                <w:sz w:val="16"/>
                <w:szCs w:val="16"/>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Relationship with the Company</w:t>
            </w:r>
          </w:p>
        </w:tc>
      </w:tr>
      <w:tr>
        <w:trPr>
          <w:trHeight w:val="185"/>
        </w:trPr>
        <w:tc>
          <w:tcPr>
            <w:tcW w:w="56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Souche Holdings Ltd</w:t>
            </w:r>
          </w:p>
        </w:tc>
        <w:tc>
          <w:tcPr>
            <w:tcW w:w="5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Souche Holdings Ltd or entities controlled by Souche Holdings Ltd</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Guotai Dasouche (Tianjin) Financial Leasing Co., Ltd. (“Guotai Dasouche”)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investee of Souche Holdings Ltd</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Alipay. com Co., Ltd. (“Alipay”)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Affiliate of our principal shareholders</w:t>
            </w:r>
          </w:p>
        </w:tc>
      </w:t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Changji Technology Co., Ltd. (“Guangzhou Changji”)</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investee</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had the following transactions with major related parties for the periods indicated: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94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64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10"/>
                <w:szCs w:val="10"/>
                <w:color w:val="auto"/>
              </w:rPr>
            </w:pPr>
          </w:p>
        </w:tc>
        <w:tc>
          <w:tcPr>
            <w:tcW w:w="5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320" w:type="dxa"/>
            <w:vAlign w:val="bottom"/>
          </w:tcPr>
          <w:p>
            <w:pPr>
              <w:spacing w:after="0"/>
              <w:rPr>
                <w:sz w:val="10"/>
                <w:szCs w:val="10"/>
                <w:color w:val="auto"/>
              </w:rPr>
            </w:pPr>
          </w:p>
        </w:tc>
        <w:tc>
          <w:tcPr>
            <w:tcW w:w="560" w:type="dxa"/>
            <w:vAlign w:val="bottom"/>
            <w:tcBorders>
              <w:top w:val="single" w:sz="8" w:color="auto"/>
            </w:tcBorders>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tcPr>
          <w:p>
            <w:pPr>
              <w:spacing w:after="0"/>
              <w:rPr>
                <w:sz w:val="10"/>
                <w:szCs w:val="10"/>
                <w:color w:val="auto"/>
              </w:rPr>
            </w:pPr>
          </w:p>
        </w:tc>
        <w:tc>
          <w:tcPr>
            <w:tcW w:w="540" w:type="dxa"/>
            <w:vAlign w:val="bottom"/>
            <w:tcBorders>
              <w:top w:val="single" w:sz="8" w:color="auto"/>
            </w:tcBorders>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 services provided to:</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Guotai Dasouche</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29,197</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4,026</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3,771</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70,390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9,707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Souche Holdings Ltd</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64,806</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13,007</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1,794</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21,763</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3,870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5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Guangzhou Changji</w:t>
            </w:r>
            <w:r>
              <w:rPr>
                <w:rFonts w:ascii="Times New Roman" w:cs="Times New Roman" w:eastAsia="Times New Roman" w:hAnsi="Times New Roman"/>
                <w:sz w:val="25"/>
                <w:szCs w:val="25"/>
                <w:color w:val="auto"/>
                <w:vertAlign w:val="superscript"/>
              </w:rPr>
              <w:t>(1)</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(3,047)</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(3,552)</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38,652</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5,330</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23,794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73,132</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10,085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Services received from:</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Guotai Dasouche</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940</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346</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Souche Holdings Ltd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4,109</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13,184</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4,455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615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Contribution from Souche Holdings Ltd through waiver of debt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780,363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501,358</w:t>
            </w:r>
          </w:p>
        </w:tc>
        <w:tc>
          <w:tcPr>
            <w:tcW w:w="3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69,140</w:t>
            </w:r>
          </w:p>
        </w:tc>
        <w:tc>
          <w:tcPr>
            <w:tcW w:w="3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(1) The amount represents negative revenue resulting from excess rebates paid over revenue earned.</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had the following related party balances with the major related partes for the periods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60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62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820" w:type="dxa"/>
            <w:vAlign w:val="bottom"/>
          </w:tcPr>
          <w:p>
            <w:pPr>
              <w:spacing w:after="0"/>
              <w:rPr>
                <w:sz w:val="10"/>
                <w:szCs w:val="10"/>
                <w:color w:val="auto"/>
              </w:rPr>
            </w:pP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Borders>
              <w:top w:val="single" w:sz="8" w:color="auto"/>
            </w:tcBorders>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tcPr>
          <w:p>
            <w:pPr>
              <w:spacing w:after="0"/>
              <w:rPr>
                <w:sz w:val="10"/>
                <w:szCs w:val="10"/>
                <w:color w:val="auto"/>
              </w:rPr>
            </w:pPr>
          </w:p>
        </w:tc>
        <w:tc>
          <w:tcPr>
            <w:tcW w:w="620" w:type="dxa"/>
            <w:vAlign w:val="bottom"/>
            <w:tcBorders>
              <w:top w:val="single" w:sz="8" w:color="auto"/>
            </w:tcBorders>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64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31"/>
        </w:trPr>
        <w:tc>
          <w:tcPr>
            <w:tcW w:w="6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current: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Souche Holdings Ltd</w:t>
            </w:r>
            <w:r>
              <w:rPr>
                <w:rFonts w:ascii="Times New Roman" w:cs="Times New Roman" w:eastAsia="Times New Roman" w:hAnsi="Times New Roman"/>
                <w:sz w:val="25"/>
                <w:szCs w:val="25"/>
                <w:color w:val="auto"/>
                <w:vertAlign w:val="superscript"/>
              </w:rPr>
              <w:t>(1)</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48,182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75,288</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10,383</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68,055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Guotai Dasouche</w:t>
            </w:r>
            <w:r>
              <w:rPr>
                <w:rFonts w:ascii="Times New Roman" w:cs="Times New Roman" w:eastAsia="Times New Roman" w:hAnsi="Times New Roman"/>
                <w:sz w:val="25"/>
                <w:szCs w:val="25"/>
                <w:color w:val="auto"/>
                <w:vertAlign w:val="superscript"/>
              </w:rPr>
              <w:t>(2)</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16,632</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2,294</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19,936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16"/>
        </w:trPr>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Alipay</w:t>
            </w:r>
            <w:r>
              <w:rPr>
                <w:rFonts w:ascii="Times New Roman" w:cs="Times New Roman" w:eastAsia="Times New Roman" w:hAnsi="Times New Roman"/>
                <w:sz w:val="25"/>
                <w:szCs w:val="25"/>
                <w:color w:val="auto"/>
                <w:vertAlign w:val="superscript"/>
              </w:rPr>
              <w:t>(3)</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8,466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56,940</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89,796</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non-current: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Souche Holdings Ltd</w:t>
            </w:r>
            <w:r>
              <w:rPr>
                <w:rFonts w:ascii="Times New Roman" w:cs="Times New Roman" w:eastAsia="Times New Roman" w:hAnsi="Times New Roman"/>
                <w:sz w:val="25"/>
                <w:szCs w:val="25"/>
                <w:color w:val="auto"/>
                <w:vertAlign w:val="superscript"/>
              </w:rPr>
              <w:t>(4)</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46,968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67,102</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9,254</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99,745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46,968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67,102</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9,254</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99,745</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420" w:right="20" w:hanging="966"/>
        <w:spacing w:after="0" w:line="261" w:lineRule="auto"/>
        <w:rPr>
          <w:sz w:val="20"/>
          <w:szCs w:val="20"/>
          <w:color w:val="auto"/>
        </w:rPr>
      </w:pPr>
      <w:r>
        <w:rPr>
          <w:rFonts w:ascii="Times New Roman" w:cs="Times New Roman" w:eastAsia="Times New Roman" w:hAnsi="Times New Roman"/>
          <w:sz w:val="18"/>
          <w:szCs w:val="18"/>
          <w:color w:val="auto"/>
        </w:rPr>
        <w:t>Notes:  (1) The balances mainly represent amounts due from Souche Holdings Ltd for transaction services, such as delivery services, used car inspection and certification services and other management and administrative support services.</w:t>
      </w:r>
    </w:p>
    <w:p>
      <w:pPr>
        <w:ind w:left="1420" w:hanging="312"/>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mainly represents amounts due from Guotai Dasouche for financial products referral services provided.</w:t>
      </w:r>
    </w:p>
    <w:p>
      <w:pPr>
        <w:spacing w:after="0" w:line="9" w:lineRule="exact"/>
        <w:rPr>
          <w:rFonts w:ascii="Times New Roman" w:cs="Times New Roman" w:eastAsia="Times New Roman" w:hAnsi="Times New Roman"/>
          <w:sz w:val="18"/>
          <w:szCs w:val="18"/>
          <w:color w:val="auto"/>
        </w:rPr>
      </w:pPr>
    </w:p>
    <w:p>
      <w:pPr>
        <w:ind w:left="1420" w:hanging="312"/>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mainly represents amounts due from the online payment platform operated by Alipay.</w:t>
      </w:r>
    </w:p>
    <w:p>
      <w:pPr>
        <w:spacing w:after="0" w:line="9" w:lineRule="exact"/>
        <w:rPr>
          <w:rFonts w:ascii="Times New Roman" w:cs="Times New Roman" w:eastAsia="Times New Roman" w:hAnsi="Times New Roman"/>
          <w:sz w:val="18"/>
          <w:szCs w:val="18"/>
          <w:color w:val="auto"/>
        </w:rPr>
      </w:pPr>
    </w:p>
    <w:p>
      <w:pPr>
        <w:ind w:left="1420" w:hanging="312"/>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represents amounts arising from non-trade interest-free loans lent to Souche Holdings Ltd.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840" w:type="dxa"/>
            <w:vAlign w:val="bottom"/>
            <w:gridSpan w:val="8"/>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left="1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2"/>
                <w:szCs w:val="12"/>
                <w:color w:val="auto"/>
              </w:rPr>
            </w:pPr>
          </w:p>
        </w:tc>
        <w:tc>
          <w:tcPr>
            <w:tcW w:w="72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720" w:type="dxa"/>
            <w:vAlign w:val="bottom"/>
            <w:tcBorders>
              <w:top w:val="single" w:sz="8" w:color="auto"/>
            </w:tcBorders>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spacing w:after="0"/>
              <w:rPr>
                <w:sz w:val="10"/>
                <w:szCs w:val="10"/>
                <w:color w:val="auto"/>
              </w:rPr>
            </w:pPr>
          </w:p>
        </w:tc>
        <w:tc>
          <w:tcPr>
            <w:tcW w:w="70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tcPr>
          <w:p>
            <w:pPr>
              <w:spacing w:after="0"/>
              <w:rPr>
                <w:sz w:val="10"/>
                <w:szCs w:val="10"/>
                <w:color w:val="auto"/>
              </w:rPr>
            </w:pPr>
          </w:p>
        </w:tc>
        <w:tc>
          <w:tcPr>
            <w:tcW w:w="720" w:type="dxa"/>
            <w:vAlign w:val="bottom"/>
            <w:tcBorders>
              <w:top w:val="single" w:sz="8" w:color="auto"/>
            </w:tcBorders>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64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7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31"/>
        </w:trPr>
        <w:tc>
          <w:tcPr>
            <w:tcW w:w="12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current: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Souche Holdings Ltd</w:t>
            </w:r>
            <w:r>
              <w:rPr>
                <w:rFonts w:ascii="Times New Roman" w:cs="Times New Roman" w:eastAsia="Times New Roman" w:hAnsi="Times New Roman"/>
                <w:sz w:val="25"/>
                <w:szCs w:val="25"/>
                <w:color w:val="auto"/>
                <w:vertAlign w:val="superscript"/>
              </w:rPr>
              <w:t>(1)</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352,002</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15,500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Guotai Dasouche</w:t>
            </w:r>
            <w:r>
              <w:rPr>
                <w:rFonts w:ascii="Times New Roman" w:cs="Times New Roman" w:eastAsia="Times New Roman" w:hAnsi="Times New Roman"/>
                <w:sz w:val="25"/>
                <w:szCs w:val="25"/>
                <w:color w:val="auto"/>
                <w:vertAlign w:val="superscript"/>
              </w:rPr>
              <w:t>(2)</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30,056</w:t>
            </w: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4,145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23,346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5,496</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758</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36,132</w:t>
            </w: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4,983</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40,698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5,613</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non-current:</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Souche Holdings Ltd</w:t>
            </w:r>
            <w:r>
              <w:rPr>
                <w:rFonts w:ascii="Times New Roman" w:cs="Times New Roman" w:eastAsia="Times New Roman" w:hAnsi="Times New Roman"/>
                <w:sz w:val="25"/>
                <w:szCs w:val="25"/>
                <w:color w:val="auto"/>
                <w:vertAlign w:val="superscript"/>
              </w:rPr>
              <w:t>(1)</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225,576</w:t>
            </w: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31,108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430,908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59,425</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225,576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430,908</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Notes:   (1) The balances represent amounts arising from non-trade interest-free loans provided by Souche Holdings Ltd.</w:t>
      </w:r>
    </w:p>
    <w:p>
      <w:pPr>
        <w:spacing w:after="0" w:line="27" w:lineRule="exact"/>
        <w:rPr>
          <w:sz w:val="20"/>
          <w:szCs w:val="20"/>
          <w:color w:val="auto"/>
        </w:rPr>
      </w:pPr>
    </w:p>
    <w:p>
      <w:pPr>
        <w:jc w:val="both"/>
        <w:ind w:left="1420" w:hanging="312"/>
        <w:spacing w:after="0" w:line="255" w:lineRule="auto"/>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 amounts arising from non-trade loans due to Guotai Dasouche at 8% interest rate with an original term of 12 months. We have pledged our equity interests in certain of our operating subsidiaries to Guotai Dasouche in connection with the foregoing loans.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in the Cayman Islands and our affairs are governed by our memorandum and articles of association, as amended and restated from time to time, and Companies Act (As Revised) of the Cayman Islands, which we refer to as the “Companies Act” below, and the common law of the Cayman Islands.</w:t>
      </w:r>
    </w:p>
    <w:p>
      <w:pPr>
        <w:spacing w:after="0" w:line="176"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As of the date hereof, our authorized share capital consists of US$200,000 divided into (i) 1,192,139,384 ordinary shares of a par value of US$0.0001 each, (ii) 6,250,000 Series A-1 preferred shares of a par value of US$0.0001 each, (iii) 46,135,648 Series A-2 preferred shares of a par value of US$0.0001 each; (iv) 11,185,680 Series B preferred shares of a par value of US$0.0001 each; (v) 88,188,400 Series D preferred shares of a par value of US$0.0001 each; (vi) 149,920,280 Series D-1 preferred shares of a par value of US$0.0001 each; (vii) 108,466,752 Series E-1 preferred shares of a par value of US$0.0001 each; (viii) 166,052,206 Series E-2 preferred shares of a par value of US$0.0001 each; (ix) 43,099,293 Series E-3 preferred shares of a par value of US$0.0001 each; and (x) 164,140,119 Series F preferred shares of a par value of US$0.0001 each; and (xi) 24,422,238 Series G preferred shares of a par value of US$0.0001 each. As of the date of this prospectus, there are 136,159,402 ordinary shares, 6,250,000 Series A-1 preferred shares, 46,135,648 Series A-2 preferred shares, 11,185,680 Series B preferred shares, 88,188,400 Series D preferred shares, 149,920,280 Series D-1 preferred shares, 108,466,752 Series E-1 preferred share, 166,052,206 Series E-2 preferred shares, 43,099,293 Series E-3 preferred shares, 160,532,881 Series F preferred shares and 24,422,238 Series G preferred shares issued and outstanding. All of our issued and outstanding ordinary shares and preferred shares are fully paid. Immediately prior to the completion of this offering, except for our Series E-3 and Series F preferred shares, all of the issued and outstanding preferred shares will be converted into, and re-designated and re-classified, as ordinary shares on a one-for-one basis. Series E-3 and Series F preferred shares will be converted into the ordinary shares upon the completion of the offering on a ratio of approximately 0.9984:1 and 0.9940:1, respectively (due to certain anti-dilution mechanism pursuant to the currently effective memorandum and articles of association).</w:t>
      </w:r>
    </w:p>
    <w:p>
      <w:pPr>
        <w:spacing w:after="0" w:line="197" w:lineRule="exact"/>
        <w:rPr>
          <w:sz w:val="20"/>
          <w:szCs w:val="20"/>
          <w:color w:val="auto"/>
        </w:rPr>
      </w:pPr>
    </w:p>
    <w:p>
      <w:pPr>
        <w:jc w:val="both"/>
        <w:ind w:left="120" w:firstLine="440"/>
        <w:spacing w:after="0" w:line="270" w:lineRule="auto"/>
        <w:rPr>
          <w:sz w:val="20"/>
          <w:szCs w:val="20"/>
          <w:color w:val="auto"/>
        </w:rPr>
      </w:pPr>
      <w:r>
        <w:rPr>
          <w:rFonts w:ascii="Times New Roman" w:cs="Times New Roman" w:eastAsia="Times New Roman" w:hAnsi="Times New Roman"/>
          <w:sz w:val="17"/>
          <w:szCs w:val="17"/>
          <w:color w:val="auto"/>
        </w:rPr>
        <w:t>Subject to the approval of our shareholders, we plan to adopt a post-offering amended and restated memorandum and articles of association, which will become effective and replace the current second amended and restated memorandum and articles of association in its entirety immediately prior to the completion of this offering. Our post-offering amended and restated memorandum and articles of association will provide that, upon the closing of this offering, we will have two classes of shares, the Class A ordinary shares and Class B ordinary shares. Our authorized share capital upon completion</w:t>
      </w:r>
    </w:p>
    <w:p>
      <w:pPr>
        <w:spacing w:after="0" w:line="3" w:lineRule="exact"/>
        <w:rPr>
          <w:sz w:val="20"/>
          <w:szCs w:val="20"/>
          <w:color w:val="auto"/>
        </w:rPr>
      </w:pPr>
    </w:p>
    <w:p>
      <w:pPr>
        <w:jc w:val="both"/>
        <w:ind w:left="120"/>
        <w:spacing w:after="0" w:line="250" w:lineRule="auto"/>
        <w:rPr>
          <w:sz w:val="20"/>
          <w:szCs w:val="20"/>
          <w:color w:val="auto"/>
        </w:rPr>
      </w:pPr>
      <w:r>
        <w:rPr>
          <w:rFonts w:ascii="Times New Roman" w:cs="Times New Roman" w:eastAsia="Times New Roman" w:hAnsi="Times New Roman"/>
          <w:sz w:val="18"/>
          <w:szCs w:val="18"/>
          <w:color w:val="auto"/>
        </w:rPr>
        <w:t>of the offering will be US$        divided into        Class A ordinary shares of a par value of US$        each and        Class B ordinary shares of a par value of US$        each. Immediately upon the completion of this offering, we will have        Class A ordinary shares and</w:t>
      </w:r>
    </w:p>
    <w:p>
      <w:pPr>
        <w:spacing w:after="0" w:line="1"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331,292,603 Class B ordinary shares issued and outstanding, assuming the underwriters do not exercise their option to purchase additional ADSs. All incentive shares, including options, restricted shares and restricted share units, regardless of the grant dates, will entitle holders to an equivalent number of Class A ordinary shares once the vesting and exercising conditions are met.</w:t>
      </w:r>
    </w:p>
    <w:p>
      <w:pPr>
        <w:spacing w:after="0" w:line="18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upon the closing of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Objects of Our Company</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our post-offering amended and restated memorandum and articles of association, the objects of our company are unrestricted and we have the full power and authority to carry out any object not prohibited by the Cayman Islands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Immediately prior to the completion of this offering, our authorized share capital is US$        divided into        Class A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and        Class B ordinary shares, with a par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value of US$        each. Holders of ordinary shares will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17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Each Class B ordinary share is convertible into one Class A ordinary share at any time by the holder thereof. Class A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not convertible into Class B ordinary shares under any circumstances. Upon 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an affiliate of the founder (as defined under the post-offering amended and restated memorandum and articles of association), such Class B ordinary shares shall be automatically and immediately converted into the same number of Class A ordinary shares.</w:t>
      </w:r>
    </w:p>
    <w:p>
      <w:pPr>
        <w:spacing w:after="0" w:line="18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subject to our post-offering amended and restated memorandum and articles of association and the Companies Act. In addition, our shareholders may by ordinary resolution declare a dividend, but no dividend may exceed the amount recommended by our directors. Our post-offering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85"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Meeting of Shareholders. </w:t>
      </w:r>
      <w:r>
        <w:rPr>
          <w:rFonts w:ascii="Times New Roman" w:cs="Times New Roman" w:eastAsia="Times New Roman" w:hAnsi="Times New Roman"/>
          <w:sz w:val="18"/>
          <w:szCs w:val="18"/>
          <w:color w:val="auto"/>
        </w:rPr>
        <w:t>In respect of all matters subject to a shareholders’ vote, holders of ordinary shares shall, at all times,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on all matters submitted to a vote by the members at any such general meeting. Each Class A ordinary share shall be entitled to one vote on all matters subject to the vote at general meetings of our company, and each Class B ordinary share shall be entitled to 10 votes on all matters subject to the vote at general meetings (including extraordinary general meetings) of our company. Voting at any meeting of shareholders is by show of hands unless a poll is demanded.</w:t>
      </w:r>
    </w:p>
    <w:p>
      <w:pPr>
        <w:spacing w:after="0" w:line="183"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or more shareholders holding not less than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post-offering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post-offering amended and restated memorandum and articles of association. Our shareholders may, among other things, divide or combine their shares by ordinary resolution.</w:t>
      </w:r>
    </w:p>
    <w:p>
      <w:pPr>
        <w:spacing w:after="0" w:line="183"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in our post-offering amended and restated memorandum and articles of association as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 below, any of our shareholders may transfer all or any of his or her ordinary shares by an instrument of transfer in the usual or common form or any other form approved by our board of directors. 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86" w:lineRule="exact"/>
        <w:rPr>
          <w:sz w:val="20"/>
          <w:szCs w:val="20"/>
          <w:color w:val="auto"/>
        </w:rPr>
      </w:pPr>
    </w:p>
    <w:p>
      <w:pPr>
        <w:ind w:left="1080" w:right="20" w:hanging="532"/>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free from any lien in favor of the Company;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30 more than days in any year as our board may determine.</w:t>
      </w:r>
    </w:p>
    <w:p>
      <w:pPr>
        <w:spacing w:after="0" w:line="17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 or purchase of ordinary shares), if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82"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Our board of directors may from time to time make calls upon shareholders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amounts unpaid on their ordinary shares in a notice served to such shareholders at least 14 clear days prior to the specified time of payment. The ordinary shares that have been called upon and remain unpaid are subject to forfeiture.</w:t>
      </w:r>
    </w:p>
    <w:p>
      <w:pPr>
        <w:spacing w:after="0" w:line="171"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 redemption, 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or at the option of the holders thereof, on such terms and in such</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post-offering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84"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 attached to any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series of shares (unless otherwise provided by the terms of issue) of the shares of that class or series), whether or not our company is being wound-up, may be varied with the consent in writing of [a majority of]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82"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 obtain copies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179"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post-offering amended and restated memorandum of association authorizes our board of directors to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ordinary shares from time to time as our board of directors shall determine, to the extent of available authorized but to issue additional ordinary shares from time to time as our board of directors shall determine, to the extent of available authorized but unissued shares.</w:t>
      </w:r>
    </w:p>
    <w:p>
      <w:pPr>
        <w:spacing w:after="0" w:line="17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67" w:lineRule="exact"/>
        <w:rPr>
          <w:sz w:val="20"/>
          <w:szCs w:val="20"/>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post-offering amended and restated memorandum and articles of association may discourage,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delay or prevent a change of control of our company or management that shareholders may consider favorable, including provisions that:</w:t>
      </w:r>
    </w:p>
    <w:p>
      <w:pPr>
        <w:spacing w:after="0" w:line="64" w:lineRule="exact"/>
        <w:rPr>
          <w:sz w:val="20"/>
          <w:szCs w:val="20"/>
          <w:color w:val="auto"/>
        </w:rPr>
      </w:pPr>
    </w:p>
    <w:p>
      <w:pPr>
        <w:ind w:left="1080" w:right="20" w:hanging="532"/>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1"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incorporated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6" w:lineRule="exact"/>
        <w:rPr>
          <w:sz w:val="20"/>
          <w:szCs w:val="20"/>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131" w:lineRule="exact"/>
        <w:rPr>
          <w:sz w:val="20"/>
          <w:szCs w:val="20"/>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together with a statement of the shares held by each member, and such statement shall confirm</w:t>
      </w:r>
    </w:p>
    <w:p>
      <w:pPr>
        <w:spacing w:after="0" w:line="27" w:lineRule="exact"/>
        <w:rPr>
          <w:rFonts w:ascii="Times New Roman" w:cs="Times New Roman" w:eastAsia="Times New Roman" w:hAnsi="Times New Roman"/>
          <w:sz w:val="18"/>
          <w:szCs w:val="18"/>
          <w:color w:val="auto"/>
        </w:rPr>
      </w:pPr>
    </w:p>
    <w:p>
      <w:pPr>
        <w:jc w:val="both"/>
        <w:ind w:left="108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amount paid or agreed to be considered as paid, on the shares of each member, (ii) the number and category of shares held by each member, and (iii) whether each relevant category of shares held by a member carries voting rights under the articles of association of our company, and if so, whether such voting rights are conditional;</w:t>
      </w:r>
    </w:p>
    <w:p>
      <w:pPr>
        <w:spacing w:after="0" w:line="9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of members has been updated, the shareholders recorded in the register of members will be deemed to have legal title to the shares set against their name, and in particular, the depositary (or its nominee) will be deemed to be the registered legal holder of the number of shares set out against its name in our register of members, which shall be the shares represented by the ADSs being offered in this offering.</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Mergers and Similar Arrangements. </w:t>
      </w:r>
      <w:r>
        <w:rPr>
          <w:rFonts w:ascii="Times New Roman" w:cs="Times New Roman" w:eastAsia="Times New Roman" w:hAnsi="Times New Roman"/>
          <w:sz w:val="17"/>
          <w:szCs w:val="17"/>
          <w:color w:val="auto"/>
        </w:rPr>
        <w:t>The Companies Act permits mergers and consolidations between Cayman Islands companies and between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4" w:lineRule="exact"/>
        <w:rPr>
          <w:sz w:val="20"/>
          <w:szCs w:val="20"/>
          <w:color w:val="auto"/>
        </w:rPr>
      </w:pPr>
    </w:p>
    <w:p>
      <w:pPr>
        <w:jc w:val="both"/>
        <w:ind w:left="120" w:hanging="4"/>
        <w:spacing w:after="0" w:line="252" w:lineRule="auto"/>
        <w:tabs>
          <w:tab w:leader="none" w:pos="41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4" w:lineRule="exact"/>
        <w:rPr>
          <w:sz w:val="20"/>
          <w:szCs w:val="20"/>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Harbottle </w:t>
      </w:r>
      <w:r>
        <w:rPr>
          <w:rFonts w:ascii="Times New Roman" w:cs="Times New Roman" w:eastAsia="Times New Roman" w:hAnsi="Times New Roman"/>
          <w:sz w:val="18"/>
          <w:szCs w:val="18"/>
          <w:color w:val="auto"/>
        </w:rPr>
        <w:t>and the exceptions thereto) which permit a minority shareholder to commence a Class action against or derivative actions in the name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challenge actions where:</w:t>
      </w:r>
    </w:p>
    <w:p>
      <w:pPr>
        <w:spacing w:after="0" w:line="89" w:lineRule="exact"/>
        <w:rPr>
          <w:sz w:val="20"/>
          <w:szCs w:val="20"/>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post-offering amended and restated memorandum and articles of association, which will become effective immediately prior to the completion of this offering, to the fullest extent permissible under Cayman Islands law every director and officer of our company shall be indemnified against all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actions, proceedings, costs, charges, losses, damages and expenses incurred or sustained by him by reason of any act done or omitted in or about the execution of their duty in their respective offices or trusts. This standard of conduct is generally the same as permitted under the Delaware General Corporation Law for a Delaware corporation.</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8"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The Companies Act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w:t>
      </w:r>
    </w:p>
    <w:p>
      <w:pPr>
        <w:spacing w:after="0" w:line="15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or the affirmative vote of a simple majority of the other directors present and voting at a board meeting. A director shall hold office until the expiration of his or her term or his or her successor shall have been elected and qualified, or until his or her office is otherwise vacated. In addition, a director’s office shall be vacated if the director (i) dies, becomes bankrupt or makes any arrangement or composition with his creditors; (ii) is found to be or becomes of unsound mind; (iii) resigns his office by notice in writing to the company; (iv) is prohibited by law or stock exchange rules from being a director; or (v) is removed from office pursuant to any other provisions of our post-offering amended and restated memorandum and articles of association.</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company, and are entered into for a proper corporate purpose and not with the effect of constituting a fraud on the minority shareholders.</w:t>
      </w:r>
    </w:p>
    <w:p>
      <w:pPr>
        <w:spacing w:after="0" w:line="221"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post-offering amended and restated articles of association, our company may be dissolved, liquidated or wound up by a special resolution of our shareholders.</w:t>
      </w:r>
    </w:p>
    <w:p>
      <w:pPr>
        <w:spacing w:after="0" w:line="179"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79"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76"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 amended and restated memorandum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articles of association on the rights of nonresident or foreign shareholders to hold or exercise voting rights on our shares. In addition, there are no provisions in our post-offering amended and restated memorandum and articles of association that require our company to disclose shareholder ownership above any particular ownership threshold.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Issuance of Ordinary Shares and Preferred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Restructuring, in October 2022,</w:t>
      </w:r>
    </w:p>
    <w:p>
      <w:pPr>
        <w:spacing w:after="0" w:line="131" w:lineRule="exact"/>
        <w:rPr>
          <w:sz w:val="20"/>
          <w:szCs w:val="20"/>
          <w:color w:val="auto"/>
        </w:rPr>
      </w:pPr>
    </w:p>
    <w:p>
      <w:pPr>
        <w:ind w:left="1080" w:hanging="532"/>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a total of 831,409,379 ordinary shares of a par value of US$0.0001 to Souche Holdings Ltd for a total consideration of US$83,141.</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56"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695,249,978 ordinary shares issued to Souche Holdings Ltd were re-designated into (i) 6,250,000 Series A-1 preferred shares of a par value of US$0.0001 each, (ii) 46,135,648 Series A-2 preferred shares of a par value of US$0.0001 each; (iii) 11,185,680 Series B preferred shares of a par value of US$0.0001 each; (iv) 149,920,280 Series D-1 preferred shares of a par value of US$0.0001 each; (v) 108,466,752 Series E-1 preferred shares of a par value of US$0.0001 each; (vi) 166,052,206 Series E-2 preferred shares of a par value of US$0.0001 each; (vii) 43,099,293 Series E-3 preferred shares of a par value of US$0.0001 each; and (viii) 164,140,119 Series F preferred shares of a par value of US$0.0001 each (collectively, the “Distributed Preferred Shares”);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Souche Holdings Ltd subsequently made a distribution in specie of the ordinary shares of DSC Holdings Ltd. and Distributed Preferred Shares to its shareholders.</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56"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distribution-in-specie as described above, we issued a number of warrants to certain existing shareholders of Souche Holdings Ltd to purchase preferred shares (the “Restructuring Warrants”). All of these warrants, when outstanding, were entitled to the equivalent rights and obligations as the underlying preferred shares as if they had been exercised. The distribution-in-specie as described above and the issuance of Restructuring Warrants are designed to ensure that the equity interests of the shareholders in DSC Holdings Ltd. will be in substance the same as their interests in Souche Holdings Ltd prior to the Restructuring. The Restructuring Warrants were fully exercised and converted into preferred shares prior to the completion of the Restructuring.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about the Restructuring, see “Corporate History and Structure.”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August 21, 2023, we issued 24,422,238 Series G preferred shares to CTZC Limited for an aggregate consideration of RMB300 million.</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 Option Grants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granted share options to certain of our directors, executive officers and employees. See “Management—Share Option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currently effective shareholders agreement was entered into on August 21, 2023 by and among us, our shareholders, and certain other parties named therein.</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current shareholders agreement provides for certain special rights, including registration right, right to appoint directors, right of first refusal, co-sale right, and drag-along right and contains provisions governing the board of directors and other corporate governance matters. Each of 5Y Capital, Cygnus Equity, Primavera, API (HONG KONG) Investment Limited and Warburg Pincus, so long as they hold any preferred shares, shall be entitled to appoint one director to the Board. The aforesaid special rights (except the registration right as described below), as well as certain corporate governance provisions, will terminate upon the completion of this offering.</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current shareholders agreement, we have granted certain registration rights to our shareholders. Set forth below is a description of the registration rights granted under the agreement.</w:t>
      </w:r>
    </w:p>
    <w:p>
      <w:pPr>
        <w:spacing w:after="0" w:line="15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Demand Registration Rights. </w:t>
      </w:r>
      <w:r>
        <w:rPr>
          <w:rFonts w:ascii="Times New Roman" w:cs="Times New Roman" w:eastAsia="Times New Roman" w:hAnsi="Times New Roman"/>
          <w:sz w:val="18"/>
          <w:szCs w:val="18"/>
          <w:color w:val="auto"/>
        </w:rPr>
        <w:t>At any time after the closing of an IPO, shareholders holding at least twenty percent of the then outstanding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submit a request that we effect the registration of the registrable securities under the Securities Act. Upon such a request, we shall within 10 business days of the receipt of such written request give written notice of the proposed registration to all other holders and shall, use our best efforts to effect as soon as practicable, the registration under the Securities Act of all registrable securities which the holders request to be registered within 20 days after the receipt of such notice by us, provided, however, that we shall not be obligated (i) to effect more than one such demand registration within any six month period pursuant to demand registration rights or Form F-3 registration rights or (ii) to effect a demand registration if the holders had an opportunity to participate pursuant to their piggyback registration rights, other than a registration from which the registrable securities of the holders have been excluded pursuant to the provisions under piggyback registrations. If the underwriter advises the holders initiating the registration request pursuant to the demand registration rights in writing that marketing factors require a limitation on the number of shares to be underwritten, then the underwriter may reduce the number of registrable securities that may be included in the underwriting and allocate such number to holders of registrable securities on a pro rata basis, provided that (A) the number of shares of registrable securities to be included in such underwriting and registration shall not be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reduced unless all other securities are first entirely excluded from the underwriting and registration and (B) at least twenty percent (20%) of shares of registrable securities requested by the holders to be included in such underwriting and registration.</w:t>
      </w:r>
    </w:p>
    <w:p>
      <w:pPr>
        <w:spacing w:after="0" w:line="15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Piggyback Registration Rights. </w:t>
      </w:r>
      <w:r>
        <w:rPr>
          <w:rFonts w:ascii="Times New Roman" w:cs="Times New Roman" w:eastAsia="Times New Roman" w:hAnsi="Times New Roman"/>
          <w:sz w:val="18"/>
          <w:szCs w:val="18"/>
          <w:color w:val="auto"/>
        </w:rPr>
        <w:t>If we propose to file a registration statement under the Securities Act for purposes of effecting a public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but not limited to, registration statements relating to secondary offerings of our securities, but excluding registration statements relating to demand registration or Form F-3 registration or to any employee benefit plan or a corporate reorganization), we shall notify all holders of registrable securities in writing at least thirty days prior to such filing and shall afford each such holder an opportunity to include in such registration statement all or any part of the registrable securities then held by such holder. Each holder desiring to include in any such registration statement all or any part of its registrable securities held shall within twenty days after receipt of the above-described notice from us, so notify us in writing, and in such notice shall inform us of the number of registrable securities it wishes to include in such registration statement. If a holder decides not to include its registrable securities in any registration statement thereafter filed by us, such holder shall nevertheless continue to have the right to include any registrable securities in any subsequent registration statement or registration statements as we may be file with respect to offerings of our securities, all upon the terms of conditions set forth herein. If the managing underwriters of any underwritten offering determine in good faith that marketing factors require a limitation on the number of shares to be underwritten, then such managing underwriters may exclude shares (including registrable securities) from the registration and the underwriting, subject to certain limitations.</w:t>
      </w:r>
    </w:p>
    <w:p>
      <w:pPr>
        <w:spacing w:after="0" w:line="190"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Form F-3 Registration Rights. </w:t>
      </w:r>
      <w:r>
        <w:rPr>
          <w:rFonts w:ascii="Times New Roman" w:cs="Times New Roman" w:eastAsia="Times New Roman" w:hAnsi="Times New Roman"/>
          <w:sz w:val="18"/>
          <w:szCs w:val="18"/>
          <w:color w:val="auto"/>
        </w:rPr>
        <w:t>If we receive from any holder or holders of at least twenty percent (20%) of all registration securities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a written request or requests that we effect a registration on Form F-3 and any related qualification or compliances with respect to all or a part of the registration securities owned by such holder or holders, we shall, when entitled to use Form F-3 or a comparable form to register the requested registrable securities, subject to certain limitations, (i) promptly give written notice of the proposed registration to all other holders of registrable securities, (ii) effect such registration and all such qualifications and compliances as may be so requested as soon as practicable.</w:t>
      </w:r>
    </w:p>
    <w:p>
      <w:pPr>
        <w:spacing w:after="0" w:line="179"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Expense of Registration. </w:t>
      </w:r>
      <w:r>
        <w:rPr>
          <w:rFonts w:ascii="Times New Roman" w:cs="Times New Roman" w:eastAsia="Times New Roman" w:hAnsi="Times New Roman"/>
          <w:sz w:val="18"/>
          <w:szCs w:val="18"/>
          <w:color w:val="auto"/>
        </w:rPr>
        <w:t>We will bear all registration expenses, except for certain selling expenses, incurred in connection with any demand,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piggyback or F-3 registration, subject to certain limitations.</w:t>
      </w:r>
    </w:p>
    <w:p>
      <w:pPr>
        <w:spacing w:after="0" w:line="15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Registration Rights. </w:t>
      </w:r>
      <w:r>
        <w:rPr>
          <w:rFonts w:ascii="Times New Roman" w:cs="Times New Roman" w:eastAsia="Times New Roman" w:hAnsi="Times New Roman"/>
          <w:sz w:val="18"/>
          <w:szCs w:val="18"/>
          <w:color w:val="auto"/>
        </w:rPr>
        <w:t>Our shareholders’ registration rights will terminate (i) on the fifth anniversary of the date of closing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public offering, (ii) if all such registrable securities proposed to be sold by a holder may then be sold without registration in any ninety (90) day period pursuant to Rule 144 promulgated under the Securities Act.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21"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as depositary, will register and deliver American Depositary Shares, also referred to as ADSs. Each ADS will represent       Class A Ordinary Shares (or a right to receive       Class A Ordinary Shares) deposited with       ,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governs shareholder rights. The depositary will be the holder of the Class A ordinary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80"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172"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w:t>
      </w:r>
      <w:r>
        <w:rPr>
          <w:rFonts w:ascii="Times New Roman" w:cs="Times New Roman" w:eastAsia="Times New Roman" w:hAnsi="Times New Roman"/>
          <w:sz w:val="18"/>
          <w:szCs w:val="18"/>
          <w:color w:val="auto"/>
        </w:rPr>
        <w:t>The depositary will convert any cash dividend or other cash distribution we pay on the shares into U.S. dollars, if it can do so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Times New Roman" w:cs="Times New Roman" w:eastAsia="Times New Roman" w:hAnsi="Times New Roman"/>
          <w:sz w:val="18"/>
          <w:szCs w:val="18"/>
          <w:i w:val="1"/>
          <w:iCs w:val="1"/>
          <w:color w:val="auto"/>
        </w:rPr>
        <w:t>If the exchange rates fluctuate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during a time when the depositary cannot convert the foreign currency, you may lose some of the value of the distribution.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Shares. </w:t>
      </w:r>
      <w:r>
        <w:rPr>
          <w:rFonts w:ascii="Times New Roman" w:cs="Times New Roman" w:eastAsia="Times New Roman" w:hAnsi="Times New Roman"/>
          <w:sz w:val="18"/>
          <w:szCs w:val="18"/>
          <w:color w:val="auto"/>
        </w:rPr>
        <w:t>The depositary may distribute additional ADSs representing any shares we distribute as a dividend or free distribution.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7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to purchase additional shares. </w:t>
      </w:r>
      <w:r>
        <w:rPr>
          <w:rFonts w:ascii="Times New Roman" w:cs="Times New Roman" w:eastAsia="Times New Roman" w:hAnsi="Times New Roman"/>
          <w:sz w:val="18"/>
          <w:szCs w:val="18"/>
          <w:color w:val="auto"/>
        </w:rPr>
        <w:t>If we offer holders of our securities any rights to subscribe for additional shares or any other rights,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Distributions. </w:t>
      </w:r>
      <w:r>
        <w:rPr>
          <w:rFonts w:ascii="Times New Roman" w:cs="Times New Roman" w:eastAsia="Times New Roman" w:hAnsi="Times New Roman"/>
          <w:sz w:val="18"/>
          <w:szCs w:val="18"/>
          <w:color w:val="auto"/>
        </w:rPr>
        <w:t>The depositary will send to ADS holders anything else we distribute on deposited securities by any means it thinks is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Withdrawal and Cancelation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by instructing the depositary as described above, you won’t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176"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5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40 days in advance of the meeting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Persons depositing or withdrawing shares or</w:t>
            </w:r>
          </w:p>
        </w:tc>
        <w:tc>
          <w:tcPr>
            <w:tcW w:w="3040" w:type="dxa"/>
            <w:vAlign w:val="bottom"/>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w w:val="90"/>
              </w:rPr>
              <w:t>For:</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ADS holders must pay:</w:t>
            </w:r>
          </w:p>
        </w:tc>
        <w:tc>
          <w:tcPr>
            <w:tcW w:w="3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ind w:left="120"/>
        <w:spacing w:after="0"/>
        <w:rPr>
          <w:sz w:val="20"/>
          <w:szCs w:val="20"/>
          <w:color w:val="auto"/>
        </w:rPr>
      </w:pPr>
      <w:r>
        <w:rPr>
          <w:rFonts w:ascii="Times New Roman" w:cs="Times New Roman" w:eastAsia="Times New Roman" w:hAnsi="Times New Roman"/>
          <w:sz w:val="18"/>
          <w:szCs w:val="18"/>
          <w:color w:val="auto"/>
        </w:rPr>
        <w:t>US$5.00 (or less) per 100 ADSs (or portion of 100 ADSs)</w:t>
      </w:r>
    </w:p>
    <w:p>
      <w:pPr>
        <w:spacing w:after="0" w:line="200" w:lineRule="exact"/>
        <w:rPr>
          <w:sz w:val="20"/>
          <w:szCs w:val="20"/>
          <w:color w:val="auto"/>
        </w:rPr>
      </w:pPr>
    </w:p>
    <w:p>
      <w:pPr>
        <w:spacing w:after="0" w:line="34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US$0.05 (or less) per ADS A fee equivalent to the fee that would be payable if securities distributed to you had been shares and the shares had been deposited for issuance of ADSs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US$0.05 (or less) per ADS per calendar year Registration or transfer fees</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 Cancelation of ADSs for the purpose of withdrawal, including if the deposit agreement terminates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cash distribution to ADS holders Distribution of securities distributed to holders of deposited securities (including rights) that are Depositary services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ectPr>
          <w:pgSz w:w="11900" w:h="16838" w:orient="portrait"/>
          <w:cols w:equalWidth="0" w:num="2">
            <w:col w:w="5760" w:space="200"/>
            <w:col w:w="5180"/>
          </w:cols>
          <w:pgMar w:left="320" w:top="455" w:right="439" w:bottom="1440" w:gutter="0" w:footer="0" w:header="0"/>
          <w:type w:val="continuous"/>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Persons depositing or withdrawing shares or</w:t>
            </w:r>
          </w:p>
        </w:tc>
        <w:tc>
          <w:tcPr>
            <w:tcW w:w="3040" w:type="dxa"/>
            <w:vAlign w:val="bottom"/>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w w:val="90"/>
              </w:rPr>
              <w:t>For:</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ADS holders must pay:</w:t>
            </w:r>
          </w:p>
        </w:tc>
        <w:tc>
          <w:tcPr>
            <w:tcW w:w="3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34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ADSs or shares underlying ADSs, such as stock transfer taxes, stamp duty or withholding taxes</w:t>
      </w:r>
    </w:p>
    <w:p>
      <w:pPr>
        <w:spacing w:after="0" w:line="68"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(including SWIFT) and facsimile transmissions (when expressly provided in the deposit agreement) Converting foreign currency to U.S. dollars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441" w:lineRule="exact"/>
        <w:rPr>
          <w:sz w:val="20"/>
          <w:szCs w:val="20"/>
          <w:color w:val="auto"/>
        </w:rPr>
      </w:pPr>
    </w:p>
    <w:p>
      <w:pPr>
        <w:sectPr>
          <w:pgSz w:w="11900" w:h="16838" w:orient="portrait"/>
          <w:cols w:equalWidth="0" w:num="2">
            <w:col w:w="5740" w:space="220"/>
            <w:col w:w="5180"/>
          </w:cols>
          <w:pgMar w:left="320" w:top="455" w:right="439" w:bottom="1440" w:gutter="0" w:footer="0" w:header="0"/>
          <w:type w:val="continuous"/>
        </w:sect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0"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40"/>
          </w:cols>
          <w:pgMar w:left="320" w:top="455" w:right="439" w:bottom="1440" w:gutter="0" w:footer="0" w:header="0"/>
          <w:type w:val="continuous"/>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Cancelation of Deposited Securities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there are no deposited securities underlying ADSs, including if the deposited securities are canceled, or if the deposited securities underlying ADSs have become apparently worthless, the depositary may call for surrender of those ADSs or cancel those ADSs upon notice to the ADS 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 w:cs="Times New Roman" w:eastAsia="Times New Roman" w:hAnsi="Times New Roman"/>
          <w:sz w:val="18"/>
          <w:szCs w:val="18"/>
          <w:i w:val="1"/>
          <w:iCs w:val="1"/>
          <w:color w:val="auto"/>
        </w:rPr>
        <w:t>At the time an amendment becomes effective, you are considered, by continuing to hold the ADSs,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 to the amendment and to be bound by the ADRs and the deposit agreement as amended.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67" w:lineRule="exact"/>
        <w:rPr>
          <w:sz w:val="20"/>
          <w:szCs w:val="20"/>
          <w:color w:val="auto"/>
        </w:rPr>
      </w:pPr>
    </w:p>
    <w:p>
      <w:pPr>
        <w:ind w:left="1080" w:right="20" w:hanging="532"/>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have passed since the depositary told us it wants to resign but a successor depositary has not been appointed and accepted its appointment;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ADSs or the underlying deposited securities have become apparently worthless;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67" w:lineRule="exact"/>
        <w:rPr>
          <w:sz w:val="20"/>
          <w:szCs w:val="20"/>
          <w:color w:val="auto"/>
        </w:rPr>
      </w:pPr>
    </w:p>
    <w:p>
      <w:pPr>
        <w:ind w:left="1080" w:right="20" w:hanging="532"/>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 and</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ADSs, make a distribution on ADSs, or permit withdrawal of shares, the depositary may require:</w:t>
      </w:r>
    </w:p>
    <w:p>
      <w:pPr>
        <w:spacing w:after="0" w:line="67" w:lineRule="exact"/>
        <w:rPr>
          <w:sz w:val="20"/>
          <w:szCs w:val="20"/>
          <w:color w:val="auto"/>
        </w:rPr>
      </w:pPr>
    </w:p>
    <w:p>
      <w:pPr>
        <w:ind w:left="1080" w:hanging="532"/>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the ADSs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080" w:right="20" w:hanging="532"/>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shares or other deposited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8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this offering, we will have       ADSs outstanding, representing       ordinary shares, or approximately       % of our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and while the ADSs have been approved for listing on the Nasdaq, we cannot assure you that a regular trading market will develop in the ADSs. We do not expect that a trading market will develop for our ordinary shares not represented by the ADSs.</w:t>
      </w: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our directors, executive officers and our existing shareholders have agreed, subject to certain exceptions, not to transfer or dispose of, directly or indirectly, any of our ordinary shares or ADSs, or any securities convertible into or exchangeable or exercisable for our ordinary shares or ADSs, for a period of 180 days after the date of this prospectus.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affiliates may sell within any three-month period a number of restricted shares that does not exceed the greater of the following:</w:t>
      </w:r>
    </w:p>
    <w:p>
      <w:pPr>
        <w:spacing w:after="0" w:line="131" w:lineRule="exact"/>
        <w:rPr>
          <w:sz w:val="20"/>
          <w:szCs w:val="20"/>
          <w:color w:val="auto"/>
        </w:rPr>
      </w:pPr>
    </w:p>
    <w:p>
      <w:pPr>
        <w:ind w:left="1080" w:right="20" w:hanging="532"/>
        <w:spacing w:after="0" w:line="266"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of the same class, in the form of ADSs or otherwise, which will equal approximately       Class A ordinary shares immediately after this offering, assuming the underwriters do not exercise their option to purchase additional ADSs; or</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during the four calendar weeks preceding the date on which notice of the sale is filed with the SEC.</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executive officers, employees and consultants who purchases our ordinary shares from us in connection with a compensatory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covering all ordinary shares which are either subject to outstanding options or may be issued upon exercise or vesting of any options or other equity awards which may be granted or issued in the future pursuant to our share incentive plan. We expect to file this registration statement as soon as practicable after the date of this prospectus. Shares registered under any registration statements will be available for sale in the open market, except to the extent that the shares are subject to vesting restrictions with us or the contractual restrictions and the lock-up described below.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Cayman Islands, PRC and United States federal income tax consequences of an investment in the ADSs or ordinary shares is based upon laws and relevant interpretations thereof in effect as of the date of this prospectus, all of which are subject to change. This discussion does not deal with all possible tax consequences relating to an investment in the ADSs or ordinary shares, such as the tax consequences under U.S. state, or local laws or the tax laws of any jurisdiction other than the Cayman Islands, the PRC and the United States. To the extent that the discussion relates to matters of Cayman Islands tax law, it represents the opinion of Maples and Calder (Hong Kong) LLP, our Cayman Islands counsel. To the extent that the discussion relates to matters of PRC tax law, it represents the opinion of Haiwen &amp; Partners, our PRC legal advisor.</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corporation tax.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PRC EIT Law, which became effective on January 1, 2008 and was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operations, personnel and human resources, finances and properties of an enterprise.</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SAT Circular 82 issued by the SAT in April 2009 specifies that certain offshore incorporated enterprises controlled by PRC enterprises or PRC enterprise groups will be classified as PRC resident enterprises only if all of the following conditions are met: (a) the primary location of the day-to-day operational management is in the PRC; (b) decisions relating to the enterprise’s financial and human resource matters are made or are subject to approval by organizations or personnel in the PRC; (c) the enterprise’s primary assets, accounting books and records, company seals, and board and shareholder resolutions are located or maintained in the PRC; and (d) at least 50% of voting board members or senior executives habitually reside in the PRC. Further to SAT Circular 82, the SAT issued the SAT Bulletin 45, which took effect in September 2011 and last amended on June 2018,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similar reasons, we believe our other entities outside of China are not PRC resident enterprises either. However, the tax resident status of an enterprise is subject to determination by the PRC tax authorities and uncertainties remain with respect to the interpretation of the term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In addition, non-resident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sale or other disposition of ADSs or ordinary shares by such shareholders may be subject to PRC tax at a rate of 20% (which, in the case of dividends, may be withheld at source by us). These rates may be reduced by an applicable tax treaty, but it is unclear whether non-PRC shareholders (including the ADS holders) of our company would be able to obtain the benefits of any tax treaties between their country of tax residence and the PRC in the event that we are treated as a PRC resident enterprise. See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you, if you are a U.S. Holder described below, of owning and disposing of our ADSs and or Class A ordinary shares, but this discussion does not purport to be a comprehensive description of all of the tax considerations that may be relevant to your decision to acquire our ADSs or Class A ordinary shares. The following applies to you only if you acquire your ADSs in this offering and hold the ADSs or underlying Class A ordinary shares as capital assets for U.S. federal income tax purposes. In addition, it does not describe all of the tax consequences that may be relevant in light of your particular circumstances, including alternative minimum tax or Medicare contribution tax consequences, and tax consequences applicable to you if you are subject to special rules, for example if you are:</w:t>
      </w:r>
    </w:p>
    <w:p>
      <w:pPr>
        <w:spacing w:after="0" w:line="93" w:lineRule="exact"/>
        <w:rPr>
          <w:sz w:val="20"/>
          <w:szCs w:val="20"/>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ADSs or Class A ordinary shares as part of a straddle, integrated transaction or similar transaction;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entity classified as a partnership for U.S. federal income tax purposes or a partner or investor therein;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 an “individual retirement account” or a “Roth IRA”;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deemed to own ADSs or Class A ordinary shares representing ten percent or more of our stock by vote or value;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ADSs or Class A ordinary shares in connection with a trade or business conducted outside of the United States.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partnership (or other entity that is classified as a partnership for U.S. federal income tax purposes) and you own ADSs or Class A ordinary shares, the U.S. federal income tax treatment of your partners will generally depend on the status of the relevant partners and your activities. If you are a partnership or a partner in a partnership, you should consult your tax adviser as to the particular U.S. federal income tax consequences to you of owning and disposing of ADSs or Class A ordinary shares.</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final, temporary and proposed Treasury regulations and the U.S.-PRC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treaty (the “Treaty”), all as of the date hereof and all of which are subject to change, possibly with retroactive effect.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“U.S. Holder” if, for U.S. federal income tax purposes, you are a beneficial owner of ADSs or Class A ordinary shares and:</w:t>
      </w:r>
    </w:p>
    <w:p>
      <w:pPr>
        <w:spacing w:after="0" w:line="67" w:lineRule="exact"/>
        <w:rPr>
          <w:sz w:val="20"/>
          <w:szCs w:val="20"/>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taxes other than income taxes (such as U.S. federal estate or gift tax consequences). You should consult your tax adviser concerning the U.S. federal, state, local and non-U.S. tax consequences of owning and disposing of ADSs or Class A ordinary shares in your particular circumstances.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below.</w:t>
      </w:r>
    </w:p>
    <w:p>
      <w:pPr>
        <w:spacing w:after="0" w:line="22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Distributions paid on the ADSs or Class A ordinary shares,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ADSs or Class A ordinary shares, will generally be treated as dividends to the extent paid out of our current or accumulated earnings and profits, as determined under U.S. federal income tax principles. Because we do not maintain calculations of earnings and profits under U.S. federal income tax principles, it is expected that distributions generally will be reported to you as dividends. Dividends will not be eligible for the dividends-received deduction generally available to U.S. corporations under the Code. Subject to applicable limitations, dividends paid to certain non-corporate U.S. Holders of ADSs may be taxable at a preferential rate. If you are a non-corporate U.S. Holder, you should consult your tax adviser regarding the availability of this preferential tax rate on dividends in your particular circumstances.</w:t>
      </w:r>
    </w:p>
    <w:p>
      <w:pPr>
        <w:spacing w:after="0" w:line="185"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Dividends will be included in your income on the date of receipt by the depositary (in the case of ADSs) or you (in the case of the Class A ordinary shares). The amount of income from dividends paid on Class A ordinary shares in foreign currency will be the U.S. dollar amount of the dividend calculated by reference to the spot rate of exchange in effect on the date of receipt, regardless of whether the payment is in fact converted into U.S. dollars. If the dividend is converted into U.S. dollars on the date of receipt, you generally should not be required to recognize foreign currency gain or loss in respect of the amount received. You may have foreign currency gain or loss if the dividend is converted into U.S. dollars after the date of receipt. Foreign currency gain or loss generally will be treated as U.S.-source gain or loss.</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foreign tax credit rules, dividends will be treated as foreign-source income. As described in “Taxation—PRC,” if we are deemed to be a “resident enterprise” under PRC tax law, dividends paid by us may be subject to PRC withholding tax. For U.S. federal income tax purposes, the amount of dividend income will include any amounts withheld in respect of PRC taxes. Subject to applicable limitations that vary depending on your particular circumstances and the discussion below regarding certain Treasury regulations, PRC taxes withheld from dividend payments (at a rate not exceeding the applicable rate provided in the Treaty if you are eligible for Treaty benefits) generally will be creditable against your U.S. federal income tax liability. The rules governing foreign tax credits are complex. For example, Treasury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this requirement. The U.S. internal Revenue Service (the “IRS”) recently released a notice which indicates that the U.S. Treasury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Department and the IRS are considering amendments to these Treasury regulations and provides relief from certain of their provisions for taxable years ending on or before December 31, 2023. The notice also indicates that the U.S. Treasury Department and the IRS are considering whether, and under what conditions, to provide additional temporary relief for later taxable years. In lieu of claiming a credit, you may be able to elect to deduct non-U.S. income taxes, including PRC taxes, in computing your taxable income, subject to applicable limitations. An election to deduct non-U.S. taxes instead of claiming foreign tax credits applies to all creditable non-U.S. taxes paid or accrued in the taxable year. You should consult your own tax adviser regarding the availability of foreign tax credits in your particular circumstances.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Class A Ordinary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below.</w:t>
      </w:r>
    </w:p>
    <w:p>
      <w:pPr>
        <w:spacing w:after="0" w:line="225"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You generally will recognize capital gain or loss on the sale or other taxable disposition of ADSs or Class A ordinary shares in an amount equal to the difference between the amount realized on the sale or disposition and your tax basis in the ADSs or Class A ordinary shares disposed of, in each case as determined in U.S. dollars. The gain or loss will be long-term capital gain or loss if at the time of the sale or disposition you held the ADSs or Class A ordinary shares for more than one year. Long-term capital gains recognized by non-corporate U.S. Holders may be subject to tax rates that are lower than those applicable to ordinary income. The deductibility of capital losses is subject to limitations.</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As described in “Taxation—PRC,” if we are deemed to be a “resident enterprise” under PRC tax law, any gain on the sale of ADSs or Class A ordinary shares may be subject to PRC taxes. Under the Code, capital gains of U.S. persons generally are treated as U.S.-source income. However, if you are eligible for the benefits of the Treaty, you may be able to elect to treat the gain as foreign-source income under the Treaty and claim a foreign tax credit in respect of any PRC taxes on disposition gains. Under certain Treasury regulations, you generally will be precluded from claiming a foreign tax credit with respect to PRC income taxes on gains from dispositions of ADSs or Class A ordinary shares unless you are eligible for Treaty benefits and elect to apply them. As discussed above under “—Taxation of Distributions,” the IRS recently released a notice which indicates that the U.S. Treasury Department and the IRS are considering amendments to these Treasury regulations and provides relief from certain of their provisions (including the limitation described in the preceding sentence) for taxable years ending on or before December 31, 2023. However, other limitations under the foreign tax credit rules may preclude you from claiming a foreign tax credit with respect to PRC income taxes on disposition gains. If you are precluded from claiming a foreign tax credit, it is possible that any PRC income taxes on disposition gains may either be deductible or reduce the amount realized on the disposition.</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rules governing foreign tax credits and the deductibility of non-U.S. taxes are complex. You should consult your tax adviser regarding your eligibility for the benefits of the Treaty and the creditability or deductibility of any PRC or other non-U.S. tax on disposition gains in your particular circumstances, including the Treaty’s resourcing rules, any reporting requirements with respect to a Treaty-based return position and any applicable limitations.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75% or more of its gross income consists of passive income or (ii) 50% or more of the value of its assets (generally determined on a quarterly average basis) consists of assets that produce, or are held for the production of, passive income. For the purposes of the above calculations,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 Passive income generally includes dividends, interest, rents, royalties (other than certain rents or royalties derived in an active business), and certain investment gains. Cash and cash equivalents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are generally treated as passive assets. Goodwill is generally treated as an active asset to the extent it is associated with business activities that generate active income.</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expected composition of our income and assets and the estimated value of our assets, including goodwill, which is based on the expected price of the ADSs in this offering, we do not expect to be a PFIC for our current taxable year. However, our PFIC status for the current or any future taxable year is an annual factual determination that can be made only after the end of that year. Specifically, our PFIC status for any taxable year will depend on the composition of our income and assets and the average value of our assets from time to time (including the value of our goodwill, which may be determined in large part by reference to our market capitalization, which could be volatile). Because following this offering we will hold a substantial amount of cash, we may be or become a PFIC for any taxable year if our market capitalization declines or fluctuates significantly. Furthermore, our annual PFIC status could be impacted by our minority investments in other companies (depending, among other things, on the amount invested and the nature of these companies’ business). In addition, it is not entirely clear how the contractual arrangement between us and the VIEs will be treated for purposes of the PFIC rules, and we may be or become a PFIC if the VIEs are not treated as owned by us for these purposes. Accordingly, we cannot assure you that we will not be a PFIC for the current or any future taxable year.</w:t>
      </w:r>
    </w:p>
    <w:p>
      <w:pPr>
        <w:spacing w:after="0" w:line="194"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and any subsidiary, VIE or other company in which we own or are treated as owning equity interests is also a PFIC (any such entity, a “Lower-tier PFIC”), you will be deemed to own your proportionate share of the Lower-tier PFIC and will be subject to U.S. federal income tax according to the rules described in the following paragraph on (i) certain distributions by the Lower-tier PFIC and (ii) a disposition of equity interests of the Lower-tier PFIC, in each case as if you owned your proportionate share of the Lower-tier PFIC directly, even though you will not receive the proceeds of those distributions or dispositions directly.</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Generally, if we are a PFIC for any taxable year during which you own our ADSs or Class A ordinary shares, gain recognized upon a disposition (including certain pledges) of ADSs or Class A ordinary shares by you will be allocated ratably over your holding period for the ADSs or Class A ordinary shares. The amounts allocated to the taxable year of disposition and to years before we became a PFIC will be taxed as ordinary income. The amount allocated to each other taxable year will be subject to tax at the highest tax rate in effect for that taxable year for individuals or corporations, as appropriate, and an interest charge will be imposed on the tax allocated to each taxable year. Furthermore, to the extent that distributions you receive on your ADSs or Class A ordinary shares in any taxable year exceed 125% of the average of the annual distributions on the ADSs or Class A ordinary shares received during the preceding three taxable years or your holding period, whichever is shorter, the excess distributions will be subject to taxation in the same manner. If we are a PFIC for any taxable year during which you own ADSs or Class A ordinary shares, we generally will continue to be treated as a PFIC with respect to you for all succeeding years during which you own the ADSs or Class A ordinary shares, even if we cease to meet the threshold requirements for PFIC status. If, however, we are a PFIC for any taxable year but cease to be a PFIC for subsequent years, you may make a “deemed sale” election that will allow you to eliminate the continuing PFIC status, in which case any gain on the deemed sale will be taxed under the PFIC rules described above. You should consult your tax adviser regarding the advisability of making this decision.</w:t>
      </w:r>
    </w:p>
    <w:p>
      <w:pPr>
        <w:spacing w:after="0" w:line="19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Alternatively, if we are a PFIC for any taxable year and if the ADSs are “regularly traded” on the Nasdaq, you may make a mark-to-market election with respect to your ADSs (but not Class A Ordinary Shares) that will result in tax treatment different from the general tax treatment for PFICs described in the preceding paragraph. Our ADSs will be treated as “regularly traded” in any calendar year in which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quantity of the ADSs are traded on the Nasdaq on at least 15 days during each calendar quarter. If you timely make a mark-to-market election, you generally will recognize as ordinary income any excess of the fair market value of the ADSs at the end of each taxable year over your adjusted tax basis in the ADSs, and will recognize an ordinary loss in respect of any excess of the adjusted tax basis in the ADSs over their fair market value at the end of the taxable year (but only to the extent of the net amount of income previously included as a result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mark-to-market election). If you timely make the election, your tax basis in the ADSs will be adjusted to reflect the amounts of any income or loss recognized. Any gain recognized on the sale or other disposition of the ADSs in a taxable year in which we are a PFIC will be treated as ordinary income, and any loss will be treated as an ordinary loss (but only to the extent of the net amount of income previously included as a result of the mark-to-market election, with any excess loss treated as a capital loss). If you make the mark-to-market election, distributions paid on ADSs will be treated as discussed under “—Taxation of Distributions” above (except as described in the subsequent paragraph). Once made, the election will remain in effect for all taxable years in which we are a PFIC, unless it is revoked with the IRS’s consent, or the ADSs cease to be regularly traded on a qualified exchange. You should consult your tax adviser regarding the availability and advisability of making a mark-to-market election in your particular circumstances if we are a PFIC for any taxable year. There is no provision in the Code, Treasury regulations or other official guidance that provides for a right to make a mark-to-market election with respect to any Lower-tier PFIC the shares of which are not regularly traded on a qualified exchange. As a result, even if you make a mark-to-market election with respect to your ADSs, you could nevertheless be subject to the PFIC rules described in the preceding paragraph with respect to your indirect interest in any Lower-tier PFIC.</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a PFIC (or are treated as a PFIC with respect to you) for any taxable year in which we pay a dividend or the preceding taxable year, the preferential tax rate on dividends paid to non-corporate U.S. taxpayers will not apply.</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intend to provide the information necessary for you to make a “qualified electing fund” election, which, if available, could materially affect the tax consequences of the ownership and disposition of our ADSs or Class A ordinary shares if we are a PFIC for any taxable year. Therefore, you will not be able to make this election.</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you own ADSs or Class A ordinary shares during any taxable year in which we are a PFIC, you generally will be required to file annual reports on IRS Form 8621 with respect to us and any Lower-tier PFIC, generally with your federal income tax return for that year. You should consult your tax adviser regarding the potential application of the PFIC rules to your ownership of ADSs or Class A ordinary shares.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Payments of dividends and proceeds from the sale of ADSs or Class A ordinary shares that are made within the United States or through certain U.S.-related financial intermediaries may be subject to information reporting and backup withholding unless (i) you are a corporation or other “exempt recipient” (and establish that fact if required to do so) or (ii) in the case of backup withholding, you provide a correct taxpayer identification number and certify that you are not subject to backup withholding, generally on IRS Form W-9. The amount of any backup withholding from a payment to you will be allowed as a credit against your U.S. federal income tax liability and may entitle you to a refund, provided that the required information is timely furnished to the IRS.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(or one of certain specified entities) may be required to report information relating to their ownership of ADSs or Class A ordinary shares, or non-U.S. financial accounts through which ADSs or Class A ordinary shares are held. You should consult your tax adviser regarding your reporting obligations with respect to your ownership and disposition of the ADSs or Class A ordinary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Asia Limited and China International Capital Corporation Hong Kong Securities Limited are acting as representatives, have severally agreed to purchase, and we have agreed to sell to them, severally, the number of ADSs indicated below:</w:t>
      </w:r>
    </w:p>
    <w:p>
      <w:pPr>
        <w:spacing w:after="0" w:line="19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ADSs</w:t>
            </w: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360" w:type="dxa"/>
            <w:vAlign w:val="bottom"/>
            <w:tcBorders>
              <w:top w:val="single" w:sz="8" w:color="auto"/>
            </w:tcBorders>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8"/>
                <w:szCs w:val="18"/>
                <w:color w:val="auto"/>
              </w:rPr>
            </w:pPr>
          </w:p>
        </w:tc>
      </w:tr>
      <w:tr>
        <w:trPr>
          <w:trHeight w:val="223"/>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1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severally and not jointly, to take and pay for all of the ADSs offered by this prospectus if any such ADSs are taken. However, the underwriters are not required to take or pay for the ADSs covered by the underwriters’ over-allotment option described below.</w:t>
      </w:r>
    </w:p>
    <w:p>
      <w:pPr>
        <w:spacing w:after="0" w:line="187"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The underwriters initially propose to offer part of the ADSs directly to the public at the public offering price listed on the cover page of this prospectus and part to certain dealers. After the initial offering of the ADSs, the offering price and other selling terms may from time to time be varied by the representatives.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We have granted to the underwriters an option, exercisable for 30 days from the date of this prospectus, to purchase up to        </w:t>
      </w:r>
    </w:p>
    <w:p>
      <w:pPr>
        <w:spacing w:after="0" w:line="2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87"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per ADS and total public offering price, underwriting discounts and commissions, and proceeds before expenses to us. These amounts are shown assuming both no exercise and full exercise of the underwriters’ option to purchase up to an additional       ADSs.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Borders>
              <w:top w:val="single" w:sz="8" w:color="auto"/>
            </w:tcBorders>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8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60" w:type="dxa"/>
            <w:vAlign w:val="bottom"/>
          </w:tcPr>
          <w:p>
            <w:pPr>
              <w:spacing w:after="0"/>
              <w:rPr>
                <w:sz w:val="15"/>
                <w:szCs w:val="15"/>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1"/>
        </w:trPr>
        <w:tc>
          <w:tcPr>
            <w:tcW w:w="65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Public offering price</w:t>
            </w:r>
          </w:p>
        </w:tc>
        <w:tc>
          <w:tcPr>
            <w:tcW w:w="920" w:type="dxa"/>
            <w:vAlign w:val="bottom"/>
            <w:tcBorders>
              <w:top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7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 $</w:t>
            </w:r>
          </w:p>
        </w:tc>
        <w:tc>
          <w:tcPr>
            <w:tcW w:w="8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w:t>
            </w:r>
          </w:p>
        </w:tc>
        <w:tc>
          <w:tcPr>
            <w:tcW w:w="17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 $</w:t>
            </w:r>
          </w:p>
        </w:tc>
        <w:tc>
          <w:tcPr>
            <w:tcW w:w="8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w:t>
            </w: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US $</w:t>
            </w:r>
          </w:p>
        </w:tc>
        <w:tc>
          <w:tcPr>
            <w:tcW w:w="17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US $</w:t>
            </w:r>
          </w:p>
        </w:tc>
        <w:tc>
          <w:tcPr>
            <w:tcW w:w="8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US$         .</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agreed to reimburse the underwriters for certain expenses up to US$         .</w:t>
      </w:r>
    </w:p>
    <w:p>
      <w:pPr>
        <w:spacing w:after="0" w:line="207"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Some of the underwriters are expected to make offers and sales both inside and outside the U.S. through their respective selling agents. Any offers or sales in the U.S. will be conducted by broker-dealers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registered with the SEC. Morgan Stanley Asia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the applicable laws and regulations.</w:t>
      </w:r>
    </w:p>
    <w:p>
      <w:pPr>
        <w:spacing w:after="0" w:line="183"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The address of Morgan Stanley Asia Limited is 46/F, International Commerce Center, 1 Austin Road West, Kowloon, Hong Kong. The address of China International Capital Corporation Hong Kong Securities Limited is 29/F, One International Finance Center, 1 Harbor View Street, Central, Hong Kong.</w:t>
      </w:r>
    </w:p>
    <w:p>
      <w:pPr>
        <w:spacing w:after="0" w:line="176" w:lineRule="exact"/>
        <w:rPr>
          <w:sz w:val="20"/>
          <w:szCs w:val="20"/>
          <w:color w:val="auto"/>
        </w:rPr>
      </w:pPr>
    </w:p>
    <w:p>
      <w:pPr>
        <w:ind w:left="1100"/>
        <w:spacing w:after="0"/>
        <w:tabs>
          <w:tab w:leader="none" w:pos="7680" w:val="left"/>
        </w:tabs>
        <w:rPr>
          <w:sz w:val="20"/>
          <w:szCs w:val="20"/>
          <w:color w:val="auto"/>
        </w:rPr>
      </w:pPr>
      <w:r>
        <w:rPr>
          <w:rFonts w:ascii="Times New Roman" w:cs="Times New Roman" w:eastAsia="Times New Roman" w:hAnsi="Times New Roman"/>
          <w:sz w:val="18"/>
          <w:szCs w:val="18"/>
          <w:color w:val="auto"/>
        </w:rPr>
        <w:t xml:space="preserve">We will apply for the listing of the ADSs on the Nasdaq under the trading symbol “       </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We, our directors, executive officers and existing shareholders have agreed that, without the prior written consent of the representatives, we and they will not, and will not publicly disclose an intention to, during the period ending 180 days after the date of this prospectus (the “restricted period”):</w:t>
      </w:r>
    </w:p>
    <w:p>
      <w:pPr>
        <w:spacing w:after="0" w:line="81" w:lineRule="exact"/>
        <w:rPr>
          <w:sz w:val="20"/>
          <w:szCs w:val="20"/>
          <w:color w:val="auto"/>
        </w:rPr>
      </w:pPr>
    </w:p>
    <w:p>
      <w:pPr>
        <w:ind w:left="1540" w:right="220" w:hanging="331"/>
        <w:spacing w:after="0" w:line="266" w:lineRule="auto"/>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any ADSs or any securities convertible into or exercisable or exchangeable for ordinary shares or ADSs;</w:t>
      </w:r>
    </w:p>
    <w:p>
      <w:pPr>
        <w:spacing w:after="0" w:line="81"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ordinary shares, any ADSs or any securities convertible into or exercisable or exchangeable for ordinary shares or ADSs; or</w:t>
      </w:r>
    </w:p>
    <w:p>
      <w:pPr>
        <w:spacing w:after="0" w:line="67" w:lineRule="exact"/>
        <w:rPr>
          <w:rFonts w:ascii="Times New Roman" w:cs="Times New Roman" w:eastAsia="Times New Roman" w:hAnsi="Times New Roman"/>
          <w:sz w:val="18"/>
          <w:szCs w:val="18"/>
          <w:color w:val="auto"/>
        </w:rPr>
      </w:pPr>
    </w:p>
    <w:p>
      <w:pPr>
        <w:ind w:left="1540" w:right="700" w:hanging="331"/>
        <w:spacing w:after="0" w:line="282" w:lineRule="auto"/>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ordinary shares or ADSs.</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ordinary shares, ADSs,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are subject to certain exceptions, including:</w:t>
      </w:r>
    </w:p>
    <w:p>
      <w:pPr>
        <w:spacing w:after="0" w:line="131" w:lineRule="exact"/>
        <w:rPr>
          <w:sz w:val="20"/>
          <w:szCs w:val="20"/>
          <w:color w:val="auto"/>
        </w:rPr>
      </w:pPr>
    </w:p>
    <w:p>
      <w:pPr>
        <w:ind w:left="1540" w:hanging="331"/>
        <w:spacing w:after="0"/>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30" w:lineRule="exact"/>
        <w:rPr>
          <w:rFonts w:ascii="Times New Roman" w:cs="Times New Roman" w:eastAsia="Times New Roman" w:hAnsi="Times New Roman"/>
          <w:sz w:val="18"/>
          <w:szCs w:val="18"/>
          <w:color w:val="auto"/>
        </w:rPr>
      </w:pPr>
    </w:p>
    <w:p>
      <w:pPr>
        <w:ind w:left="1540" w:right="800" w:hanging="331"/>
        <w:spacing w:after="0" w:line="282" w:lineRule="auto"/>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ordinary shares upon the exercise of an option or a warrant or the conversion of a security outstanding on the date of this prospectus of which the underwriters have been advised in writing;</w:t>
      </w:r>
    </w:p>
    <w:p>
      <w:pPr>
        <w:spacing w:after="0" w:line="67" w:lineRule="exact"/>
        <w:rPr>
          <w:rFonts w:ascii="Times New Roman" w:cs="Times New Roman" w:eastAsia="Times New Roman" w:hAnsi="Times New Roman"/>
          <w:sz w:val="18"/>
          <w:szCs w:val="18"/>
          <w:color w:val="auto"/>
        </w:rPr>
      </w:pPr>
    </w:p>
    <w:p>
      <w:pPr>
        <w:ind w:left="1540" w:right="60" w:hanging="331"/>
        <w:spacing w:after="0" w:line="261" w:lineRule="auto"/>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ordinary shares, ADSs or other securities acquired in open market transactions after the completion of the offering of the ADSs; provided that no filing under Section 16(a) of the Securities Exchange Act of 1934, as amended (the “Exchange Act”), is required or voluntarily made in connection with subsequent sales of the ordinary shares, ADSs or other securities acquired in such open market transactions; or</w:t>
      </w:r>
    </w:p>
    <w:p>
      <w:pPr>
        <w:spacing w:after="0" w:line="85" w:lineRule="exact"/>
        <w:rPr>
          <w:rFonts w:ascii="Times New Roman" w:cs="Times New Roman" w:eastAsia="Times New Roman" w:hAnsi="Times New Roman"/>
          <w:sz w:val="18"/>
          <w:szCs w:val="18"/>
          <w:color w:val="auto"/>
        </w:rPr>
      </w:pPr>
    </w:p>
    <w:p>
      <w:pPr>
        <w:ind w:left="1540" w:right="140" w:hanging="331"/>
        <w:spacing w:after="0" w:line="258" w:lineRule="auto"/>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ordinary shares or ADSs, provided that (i) such plan does not provide for the transfer of ordinary shares or ADSs during the restricted period and (ii) to the extent a public announcement or filing under the Exchange Act, if any, is required or voluntarily made regarding the establishment of such plan, such announcement or filing shall include a statement to the effect that no transfer of ordinary shares or ADSs may be made under such plan during the restricted period.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ADSs and other securities subject to the lock-up agreements described above in whole or in part at any time.]</w:t>
      </w:r>
    </w:p>
    <w:p>
      <w:pPr>
        <w:spacing w:after="0" w:line="162"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9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 may agree to allocate a number of ADSs to underwriters for sale to their online brokerage account holders. Internet distributions will be allocated by the representative to underwriters that may make Internet distributions on the same basis as other allocations.</w:t>
      </w:r>
    </w:p>
    <w:p>
      <w:pPr>
        <w:spacing w:after="0" w:line="180"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companies engaged in activities similar to ours, the general condition of the securities markets at the time of this offering, the recent market prices of, and demand for, publicly traded ordinary share of generally comparable companies, and other factors deemed relevant by the representatives and us. Neither we nor the underwriters can assure investors that an active trading market will develop for the ADSs, or that the ADSs will trade in the public market at or above the initial public offering price.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ADS Program</w:t>
      </w:r>
    </w:p>
    <w:p>
      <w:pPr>
        <w:spacing w:after="0" w:line="121"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up to [five] percent of the ADSs [to be issued by the Company] and offered by this prospectus for sale, at the initial public offering price, to some of our directors, officers, employees, business associates and related persons. If purchased by these persons, these shares will be subject to a 180-day lock-up restriction. The number of ADSs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179"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Australia</w:t>
      </w:r>
      <w:r>
        <w:rPr>
          <w:rFonts w:ascii="Times New Roman" w:cs="Times New Roman" w:eastAsia="Times New Roman" w:hAnsi="Times New Roman"/>
          <w:sz w:val="18"/>
          <w:szCs w:val="18"/>
          <w:color w:val="auto"/>
        </w:rPr>
        <w:t>. This document has not been lodged with the Australian Securities &amp; Investments Commission and is only directed to certain categories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exempt persons. Accordingly, if you receive this document in Australia:</w:t>
      </w:r>
    </w:p>
    <w:p>
      <w:pPr>
        <w:spacing w:after="0" w:line="186" w:lineRule="exact"/>
        <w:rPr>
          <w:sz w:val="20"/>
          <w:szCs w:val="20"/>
          <w:color w:val="auto"/>
        </w:rPr>
      </w:pPr>
    </w:p>
    <w:p>
      <w:pPr>
        <w:ind w:left="1080" w:hanging="532"/>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investor” under section 708(8)(a) or (b) of the Corporations Act 2001 (Cth) of Australia, or the Corporations Act;</w:t>
      </w:r>
    </w:p>
    <w:p>
      <w:pPr>
        <w:spacing w:after="0" w:line="130" w:lineRule="exact"/>
        <w:rPr>
          <w:rFonts w:ascii="Times New Roman" w:cs="Times New Roman" w:eastAsia="Times New Roman" w:hAnsi="Times New Roman"/>
          <w:sz w:val="18"/>
          <w:szCs w:val="18"/>
          <w:color w:val="auto"/>
        </w:rPr>
      </w:pPr>
    </w:p>
    <w:p>
      <w:pPr>
        <w:jc w:val="both"/>
        <w:ind w:left="1540" w:hanging="439"/>
        <w:spacing w:after="0" w:line="266" w:lineRule="auto"/>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associated with the company under section 708(12) of the Corporations Act;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investor” within the meaning of section 708(11)(a) or (b) of the Corporations Act;</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67" w:lineRule="exact"/>
        <w:rPr>
          <w:sz w:val="20"/>
          <w:szCs w:val="20"/>
          <w:color w:val="auto"/>
        </w:rPr>
      </w:pPr>
    </w:p>
    <w:p>
      <w:pPr>
        <w:ind w:left="1080" w:right="340" w:hanging="532"/>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172"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Canada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ADSs may be sold in Canada only to purchasers resident or located in the Provinces of Ontario, Québec, Alberta and British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Columbia, purchasing, or deemed to be purchasing, as principal that are accredited investors, as defined in National Instrument 45-106 Prospectus Exemptions or subsection 73.3(1) of</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58"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Cayman Islands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prospectus does not constitute an invitation or offer to the public in the Cayman Islands of the ADSs, whether by way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or subscription. The underwriters have not offered or sold, and will not offer or sell, directly or indirectly, any ADSs in the Cayman Islands.</w:t>
      </w:r>
    </w:p>
    <w:p>
      <w:pPr>
        <w:spacing w:after="0" w:line="15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Center (“DIFC”)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prospectus relates to an Exempt Offer in accordance with the Markets Rules 2012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2"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European Economic Area</w:t>
      </w:r>
      <w:r>
        <w:rPr>
          <w:rFonts w:ascii="Times New Roman" w:cs="Times New Roman" w:eastAsia="Times New Roman" w:hAnsi="Times New Roman"/>
          <w:sz w:val="18"/>
          <w:szCs w:val="18"/>
          <w:color w:val="auto"/>
        </w:rPr>
        <w:t>. In relation to each Member State of the European Economic Area (each a “Relevant State”), no ADSs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75" w:lineRule="exact"/>
        <w:rPr>
          <w:sz w:val="20"/>
          <w:szCs w:val="20"/>
          <w:color w:val="auto"/>
        </w:rPr>
      </w:pPr>
    </w:p>
    <w:p>
      <w:pPr>
        <w:ind w:left="1360" w:hanging="253"/>
        <w:spacing w:after="0"/>
        <w:tabs>
          <w:tab w:leader="none" w:pos="13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17" w:lineRule="exact"/>
        <w:rPr>
          <w:rFonts w:ascii="Times New Roman" w:cs="Times New Roman" w:eastAsia="Times New Roman" w:hAnsi="Times New Roman"/>
          <w:sz w:val="18"/>
          <w:szCs w:val="18"/>
          <w:color w:val="auto"/>
        </w:rPr>
      </w:pPr>
    </w:p>
    <w:p>
      <w:pPr>
        <w:ind w:left="1100" w:right="20" w:firstLine="7"/>
        <w:spacing w:after="0" w:line="282" w:lineRule="auto"/>
        <w:tabs>
          <w:tab w:leader="none" w:pos="138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or</w:t>
      </w:r>
    </w:p>
    <w:p>
      <w:pPr>
        <w:spacing w:after="0" w:line="53" w:lineRule="exact"/>
        <w:rPr>
          <w:rFonts w:ascii="Times New Roman" w:cs="Times New Roman" w:eastAsia="Times New Roman" w:hAnsi="Times New Roman"/>
          <w:sz w:val="18"/>
          <w:szCs w:val="18"/>
          <w:color w:val="auto"/>
        </w:rPr>
      </w:pPr>
    </w:p>
    <w:p>
      <w:pPr>
        <w:jc w:val="both"/>
        <w:ind w:left="1100" w:right="20" w:firstLine="7"/>
        <w:spacing w:after="0" w:line="261" w:lineRule="auto"/>
        <w:tabs>
          <w:tab w:leader="none" w:pos="135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ADSs shall require us or any underwriter to publish a prospectus pursuant to Article 3 of the Prospectus Regulation or supplement a prospectus pursuant to Article 23 of the Prospectus Regulation and each person who initially acquires any ADSs or to whom any offer is made will be deemed to have represented, acknowledged and agreed to and with each of the underwriters and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56" w:lineRule="auto"/>
        <w:rPr>
          <w:sz w:val="20"/>
          <w:szCs w:val="20"/>
          <w:color w:val="auto"/>
        </w:rPr>
      </w:pPr>
      <w:r>
        <w:rPr>
          <w:rFonts w:ascii="Times New Roman" w:cs="Times New Roman" w:eastAsia="Times New Roman" w:hAnsi="Times New Roman"/>
          <w:sz w:val="18"/>
          <w:szCs w:val="18"/>
          <w:color w:val="auto"/>
        </w:rPr>
        <w:t>Company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have been obtained to each such proposed offer or resale.</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72"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France</w:t>
      </w:r>
      <w:r>
        <w:rPr>
          <w:rFonts w:ascii="Times New Roman" w:cs="Times New Roman" w:eastAsia="Times New Roman" w:hAnsi="Times New Roman"/>
          <w:sz w:val="18"/>
          <w:szCs w:val="18"/>
          <w:color w:val="auto"/>
        </w:rPr>
        <w:t>. Neither this prospectus nor any other offering material relating to the ADSs described in this prospectus has been submitted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86" w:lineRule="exact"/>
        <w:rPr>
          <w:sz w:val="20"/>
          <w:szCs w:val="20"/>
          <w:color w:val="auto"/>
        </w:rPr>
      </w:pPr>
    </w:p>
    <w:p>
      <w:pPr>
        <w:ind w:left="1080" w:hanging="532"/>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ADSs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29" w:lineRule="exact"/>
        <w:rPr>
          <w:sz w:val="20"/>
          <w:szCs w:val="20"/>
          <w:color w:val="auto"/>
        </w:rPr>
      </w:pPr>
    </w:p>
    <w:p>
      <w:pPr>
        <w:jc w:val="both"/>
        <w:ind w:left="1080" w:right="20" w:hanging="532"/>
        <w:spacing w:after="0" w:line="267"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in each case investing for their own account, all as defined in, and in accordance with articles L.411-2, D.411-1, D.411-2, D.734-1, D.744-1, D.754-1 and D.764-1 of the French Code monétaire et financier;</w:t>
      </w:r>
    </w:p>
    <w:p>
      <w:pPr>
        <w:spacing w:after="0" w:line="8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w:t>
      </w:r>
      <w:r>
        <w:rPr>
          <w:rFonts w:ascii="Times New Roman" w:cs="Times New Roman" w:eastAsia="Times New Roman" w:hAnsi="Times New Roman"/>
          <w:sz w:val="18"/>
          <w:szCs w:val="18"/>
          <w:i w:val="1"/>
          <w:iCs w:val="1"/>
          <w:color w:val="auto"/>
        </w:rPr>
        <w:t>Règlement Général</w:t>
      </w:r>
      <w:r>
        <w:rPr>
          <w:rFonts w:ascii="Times New Roman" w:cs="Times New Roman" w:eastAsia="Times New Roman" w:hAnsi="Times New Roman"/>
          <w:sz w:val="18"/>
          <w:szCs w:val="18"/>
          <w:color w:val="auto"/>
        </w:rPr>
        <w:t>) of the Autorité des Marchés Financiers, does not constitute a public offer (</w:t>
      </w:r>
      <w:r>
        <w:rPr>
          <w:rFonts w:ascii="Times New Roman" w:cs="Times New Roman" w:eastAsia="Times New Roman" w:hAnsi="Times New Roman"/>
          <w:sz w:val="18"/>
          <w:szCs w:val="18"/>
          <w:i w:val="1"/>
          <w:iCs w:val="1"/>
          <w:color w:val="auto"/>
        </w:rPr>
        <w:t>appel public à</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l’épargne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ADSs may be resold directly or indirectly, only in compliance with articles L.411-1, L.411-2, L.412-1 and L.621-8 through L.621-8-3 of the French Code monétaire et financier.</w:t>
      </w:r>
    </w:p>
    <w:p>
      <w:pPr>
        <w:spacing w:after="0" w:line="158"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Germany</w:t>
      </w:r>
      <w:r>
        <w:rPr>
          <w:rFonts w:ascii="Times New Roman" w:cs="Times New Roman" w:eastAsia="Times New Roman" w:hAnsi="Times New Roman"/>
          <w:sz w:val="18"/>
          <w:szCs w:val="18"/>
          <w:color w:val="auto"/>
        </w:rPr>
        <w:t>. This prospectus does not constitute a Prospectus Directive-compliant prospectus in accordance with the German Securities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w:t>
      </w:r>
      <w:r>
        <w:rPr>
          <w:rFonts w:ascii="Times New Roman" w:cs="Times New Roman" w:eastAsia="Times New Roman" w:hAnsi="Times New Roman"/>
          <w:sz w:val="18"/>
          <w:szCs w:val="18"/>
          <w:i w:val="1"/>
          <w:iCs w:val="1"/>
          <w:color w:val="auto"/>
        </w:rPr>
        <w:t>Wertpapierprospektgesetz</w:t>
      </w:r>
      <w:r>
        <w:rPr>
          <w:rFonts w:ascii="Times New Roman" w:cs="Times New Roman" w:eastAsia="Times New Roman" w:hAnsi="Times New Roman"/>
          <w:sz w:val="18"/>
          <w:szCs w:val="18"/>
          <w:color w:val="auto"/>
        </w:rPr>
        <w:t>)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color w:val="auto"/>
        </w:rPr>
        <w:t>ADSs. In particular, no securities prospectus (</w:t>
      </w:r>
      <w:r>
        <w:rPr>
          <w:rFonts w:ascii="Times New Roman" w:cs="Times New Roman" w:eastAsia="Times New Roman" w:hAnsi="Times New Roman"/>
          <w:sz w:val="18"/>
          <w:szCs w:val="18"/>
          <w:i w:val="1"/>
          <w:iCs w:val="1"/>
          <w:color w:val="auto"/>
        </w:rPr>
        <w:t>Wertpapierprospekt</w:t>
      </w:r>
      <w:r>
        <w:rPr>
          <w:rFonts w:ascii="Times New Roman" w:cs="Times New Roman" w:eastAsia="Times New Roman" w:hAnsi="Times New Roman"/>
          <w:sz w:val="18"/>
          <w:szCs w:val="18"/>
          <w:color w:val="auto"/>
        </w:rPr>
        <w:t>) within the meaning of the German Securities Prospectus Act or any other applicable laws of Germany, has been or will be published within Germany, nor has this prospectus been filed with or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for publication within Germany.</w:t>
      </w:r>
    </w:p>
    <w:p>
      <w:pPr>
        <w:spacing w:after="0" w:line="17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underwriter will represent, agree and undertake, (i) that it has not offered, sold or delivered and will not offer, sell or deliver the ADSs within Germany other than in accordance with the German Securities Prospectus Act (</w:t>
      </w:r>
      <w:r>
        <w:rPr>
          <w:rFonts w:ascii="Times New Roman" w:cs="Times New Roman" w:eastAsia="Times New Roman" w:hAnsi="Times New Roman"/>
          <w:sz w:val="18"/>
          <w:szCs w:val="18"/>
          <w:i w:val="1"/>
          <w:iCs w:val="1"/>
          <w:color w:val="auto"/>
        </w:rPr>
        <w:t>Wertpapierprospektgesetz</w:t>
      </w:r>
      <w:r>
        <w:rPr>
          <w:rFonts w:ascii="Times New Roman" w:cs="Times New Roman" w:eastAsia="Times New Roman" w:hAnsi="Times New Roman"/>
          <w:sz w:val="18"/>
          <w:szCs w:val="18"/>
          <w:color w:val="auto"/>
        </w:rPr>
        <w:t>)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strictly for use of the person who has received it. It may not be forwarded to other persons or published in Germany.</w:t>
      </w:r>
    </w:p>
    <w:p>
      <w:pPr>
        <w:spacing w:after="0" w:line="2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Hong Kong</w:t>
      </w:r>
      <w:r>
        <w:rPr>
          <w:rFonts w:ascii="Times New Roman" w:cs="Times New Roman" w:eastAsia="Times New Roman" w:hAnsi="Times New Roman"/>
          <w:sz w:val="18"/>
          <w:szCs w:val="18"/>
          <w:color w:val="auto"/>
        </w:rPr>
        <w:t>. The ADSs may not be offered or sold in Hong Kong by means of any document other than (1) in circumstances which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constitute an offer to the public within the meaning of the Companies (Winding Up and Miscellaneous Provisions) Ordinance (Cap.32, Laws of Hong Kong), or (2) to “professional investors” within the meaning of the Securities and Futures Ordinance (Cap.571, Laws of Hong Kong) and any rules made thereunder, or (3) 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Israel</w:t>
      </w:r>
      <w:r>
        <w:rPr>
          <w:rFonts w:ascii="Times New Roman" w:cs="Times New Roman" w:eastAsia="Times New Roman" w:hAnsi="Times New Roman"/>
          <w:sz w:val="18"/>
          <w:szCs w:val="18"/>
          <w:color w:val="auto"/>
        </w:rPr>
        <w:t>. The ADSs offered by this prospectus have not been approved or disapproved by the Israeli Securities Authority (the ISA), nor has it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for sale in Israel. The ADSs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ADSs being offered. Any resale in Israel, directly or indirectly, to the public of the ADSs offered by this prospectus is subject to restrictions on transferability and must be effected only in compliance with the Israeli securities laws and regulations.</w:t>
      </w:r>
    </w:p>
    <w:p>
      <w:pPr>
        <w:spacing w:after="0" w:line="182"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Italy</w:t>
      </w:r>
      <w:r>
        <w:rPr>
          <w:rFonts w:ascii="Times New Roman" w:cs="Times New Roman" w:eastAsia="Times New Roman" w:hAnsi="Times New Roman"/>
          <w:sz w:val="18"/>
          <w:szCs w:val="18"/>
          <w:color w:val="auto"/>
        </w:rPr>
        <w:t>. The offering of ADSs has not been registered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Commissione Nazionale per le Società e la Borsa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(“CONSOB”) pursuant to Italian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legislation and, accordingly, no ADSs may be offered, sold or delivered, nor copies of this prospectus or any other documents relating to the ADSs may not be distributed in Italy except:</w:t>
      </w:r>
    </w:p>
    <w:p>
      <w:pPr>
        <w:spacing w:after="0" w:line="80" w:lineRule="exact"/>
        <w:rPr>
          <w:sz w:val="20"/>
          <w:szCs w:val="20"/>
          <w:color w:val="auto"/>
        </w:rPr>
      </w:pPr>
    </w:p>
    <w:p>
      <w:pPr>
        <w:jc w:val="both"/>
        <w:ind w:left="1080" w:hanging="532"/>
        <w:spacing w:after="0" w:line="261"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as referred to in Article 100 of Legislative Decree No. 58 of February 24, 1998, as amended (the “Decree No. 58”) and defined in Article 26, paragraph 1, letter d) of CONSOB Regulation No. 16190 of October 29, 2007, as amended (“Regulation No. 16190”) pursuant to Article 34-ter, paragraph 1, letter. b) of CONSOB Regulation No. 11971 of 14 May 1999, as amended (“Regulation No. 11971”); or</w:t>
      </w:r>
    </w:p>
    <w:p>
      <w:pPr>
        <w:spacing w:after="0" w:line="85"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where an express exemption from compliance with the offer restrictions applies, as provided under Decree No. 58 or Regulation No. 11971.</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offer, sale or delivery of the ADSs or distribution of copies of this prospectus or any other documents relating to the ADSs in the Republic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Italy must be:</w:t>
      </w:r>
    </w:p>
    <w:p>
      <w:pPr>
        <w:spacing w:after="0" w:line="112" w:lineRule="exact"/>
        <w:rPr>
          <w:sz w:val="20"/>
          <w:szCs w:val="20"/>
          <w:color w:val="auto"/>
        </w:rPr>
      </w:pPr>
    </w:p>
    <w:p>
      <w:pPr>
        <w:ind w:left="1080" w:right="20" w:hanging="532"/>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investment firms, banks or financial intermediaries permitted to conduct such activities in the Republic of Italy in accordance with Legislative Decree No. 385 of September 1, 1993, as amended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“Banking Law”), Decree No. 58 and Regulation No. 16190 and any other applicable laws and regulations;</w:t>
      </w:r>
    </w:p>
    <w:p>
      <w:pPr>
        <w:spacing w:after="0" w:line="131" w:lineRule="exact"/>
        <w:rPr>
          <w:sz w:val="20"/>
          <w:szCs w:val="20"/>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Law, and the implementing guidelines of the Bank of Italy, as amended;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notification requirement or limitation which may be imposed, from time to time, by CONSOB or the Bank of Italy or other competent authority.</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Japan</w:t>
      </w:r>
      <w:r>
        <w:rPr>
          <w:rFonts w:ascii="Times New Roman" w:cs="Times New Roman" w:eastAsia="Times New Roman" w:hAnsi="Times New Roman"/>
          <w:sz w:val="18"/>
          <w:szCs w:val="18"/>
          <w:color w:val="auto"/>
        </w:rPr>
        <w:t>. The ADSs have not been and will not be registered under the Financial Instruments and Exchange Law of Japan, and ADSs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17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Korea</w:t>
      </w:r>
      <w:r>
        <w:rPr>
          <w:rFonts w:ascii="Times New Roman" w:cs="Times New Roman" w:eastAsia="Times New Roman" w:hAnsi="Times New Roman"/>
          <w:sz w:val="18"/>
          <w:szCs w:val="18"/>
          <w:color w:val="auto"/>
        </w:rPr>
        <w:t>. The ADSs may not be offered, sold and delivered directly or indirectly, or offered or sold to any person for reoffering or resale,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in Korea or to any resident of Korea except pursuant to the applicable laws and regulations of Korea, including the Korea Securities and Exchange Act and the Foreign Exchange Transaction Law and the decrees and regulations thereunder. The ADSs have not been and will not be registered under the Financial Investment Services and Capital Markets Act of Korea and the decrees and regulations thereunder, and the ADSs have been and will be offered in Korea as a private placement under the FSCMA. Furthermore, the purchaser of the ADSs shall comply with all applicable regulatory requirements (including but not limited to government approval requirements under the Foreign Exchange Transaction Law and its subordinate decrees and regulations)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Kuwait</w:t>
      </w:r>
      <w:r>
        <w:rPr>
          <w:rFonts w:ascii="Times New Roman" w:cs="Times New Roman" w:eastAsia="Times New Roman" w:hAnsi="Times New Roman"/>
          <w:sz w:val="18"/>
          <w:szCs w:val="18"/>
          <w:color w:val="auto"/>
        </w:rPr>
        <w:t>. Unless all necessary approvals from the Kuwait Ministry of Commerce and Industry required by Law No. 31/1990 “Regulating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179"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People’s Republic of China</w:t>
      </w:r>
      <w:r>
        <w:rPr>
          <w:rFonts w:ascii="Times New Roman" w:cs="Times New Roman" w:eastAsia="Times New Roman" w:hAnsi="Times New Roman"/>
          <w:sz w:val="18"/>
          <w:szCs w:val="18"/>
          <w:color w:val="auto"/>
        </w:rPr>
        <w:t>. This prospectus has not been and will not be circulated or distributed in the PRC, and ADSs may not be offered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sold, and will not be offered or sold to any person for re-offering or resale, directly or indirectly, to any resident of the PRC except pursuant to applicable laws and regulations of the PRC.</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Qatar</w:t>
      </w:r>
      <w:r>
        <w:rPr>
          <w:rFonts w:ascii="Times New Roman" w:cs="Times New Roman" w:eastAsia="Times New Roman" w:hAnsi="Times New Roman"/>
          <w:sz w:val="18"/>
          <w:szCs w:val="18"/>
          <w:color w:val="auto"/>
        </w:rPr>
        <w:t>. In the State of Qatar, the offer contained herein is made on an exclusive basis to the specifically intended recipient thereof, upon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Singapore</w:t>
      </w:r>
      <w:r>
        <w:rPr>
          <w:rFonts w:ascii="Times New Roman" w:cs="Times New Roman" w:eastAsia="Times New Roman" w:hAnsi="Times New Roman"/>
          <w:sz w:val="18"/>
          <w:szCs w:val="18"/>
          <w:color w:val="auto"/>
        </w:rPr>
        <w:t>. This prospectus has not been registered as a prospectus with the Monetary Authority of Singapore. Accordingly, this prospectus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(1) to an institutional investor under Section 274 of the Securities and Futures Act, Chapter 289 of Singapore, or SFA,</w:t>
      </w:r>
    </w:p>
    <w:p>
      <w:pPr>
        <w:spacing w:after="0" w:line="3" w:lineRule="exact"/>
        <w:rPr>
          <w:sz w:val="20"/>
          <w:szCs w:val="20"/>
          <w:color w:val="auto"/>
        </w:rPr>
      </w:pPr>
    </w:p>
    <w:p>
      <w:pPr>
        <w:jc w:val="both"/>
        <w:ind w:left="120" w:hanging="4"/>
        <w:spacing w:after="0" w:line="255" w:lineRule="auto"/>
        <w:tabs>
          <w:tab w:leader="none" w:pos="38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or any person pursuant to Section 275(1A), and in accordance with the conditions specified in Section 275 of the SFA,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8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US$200,000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88"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Switzerland</w:t>
      </w:r>
      <w:r>
        <w:rPr>
          <w:rFonts w:ascii="Times New Roman" w:cs="Times New Roman" w:eastAsia="Times New Roman" w:hAnsi="Times New Roman"/>
          <w:sz w:val="18"/>
          <w:szCs w:val="18"/>
          <w:color w:val="auto"/>
        </w:rPr>
        <w:t>. The ADSs will not be publicly offered in Switzerland and will not be listed on the SIX Swiss Exchange, or SIX, or on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18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Taiwan</w:t>
      </w:r>
      <w:r>
        <w:rPr>
          <w:rFonts w:ascii="Times New Roman" w:cs="Times New Roman" w:eastAsia="Times New Roman" w:hAnsi="Times New Roman"/>
          <w:sz w:val="18"/>
          <w:szCs w:val="18"/>
          <w:color w:val="auto"/>
        </w:rPr>
        <w:t>. The ADSs have not been and will not be registered with the Financial Supervisory Commission of Taiwan pursuant to relevant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laws and regulations and may not be sold, issued or offered within Taiwan through a public offering or in circumstances which constitutes an offer within the meaning of the Securities and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158"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United Arab Emirates</w:t>
      </w:r>
      <w:r>
        <w:rPr>
          <w:rFonts w:ascii="Times New Roman" w:cs="Times New Roman" w:eastAsia="Times New Roman" w:hAnsi="Times New Roman"/>
          <w:sz w:val="18"/>
          <w:szCs w:val="18"/>
          <w:color w:val="auto"/>
        </w:rPr>
        <w:t>. This prospectus is not intended to constitute an offer, sale or delivery of shares or other securities under the laws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Arab Emirates, or the UAE. The ADSs and the underlying shares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offering, the ADSs, the underlying shares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and the underlying shares may not be offered or sold directly or indirectly to the public in the UAE.</w:t>
      </w:r>
    </w:p>
    <w:p>
      <w:pPr>
        <w:spacing w:after="0" w:line="17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United Kingdom. </w:t>
      </w:r>
      <w:r>
        <w:rPr>
          <w:rFonts w:ascii="Times New Roman" w:cs="Times New Roman" w:eastAsia="Times New Roman" w:hAnsi="Times New Roman"/>
          <w:sz w:val="18"/>
          <w:szCs w:val="18"/>
          <w:color w:val="auto"/>
        </w:rPr>
        <w:t>In relation to the United Kingdom, no ADSs have been offered or will be offered pursuant to the offering contemplated by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to the public in the United Kingdom prior to the publication of a prospectus in relation to the ADSs which has been approved by the Financial Conduct Authority in accordance with the UK Prospectus Regulation, except that it may make an offer to the public in the United Kingdom of any ADSs at any time under the following exemptions under the UK Prospectus Regulation:</w:t>
      </w:r>
    </w:p>
    <w:p>
      <w:pPr>
        <w:spacing w:after="0" w:line="72" w:lineRule="exact"/>
        <w:rPr>
          <w:sz w:val="20"/>
          <w:szCs w:val="20"/>
          <w:color w:val="auto"/>
        </w:rPr>
      </w:pPr>
    </w:p>
    <w:p>
      <w:pPr>
        <w:ind w:left="800" w:hanging="244"/>
        <w:spacing w:after="0"/>
        <w:tabs>
          <w:tab w:leader="none" w:pos="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17"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1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underwriters for any such offer; or</w:t>
      </w:r>
    </w:p>
    <w:p>
      <w:pPr>
        <w:spacing w:after="0" w:line="5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UK Prospectus Regulation,</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ADSs shall require the Company or any underwriter to publish a prospectus pursuant to Article 3 of the UK Prospectus Regulation or supplement a prospectus pursuant to Article 23 of the UK Prospectus Regulation.</w:t>
      </w:r>
    </w:p>
    <w:p>
      <w:pPr>
        <w:spacing w:after="0" w:line="162"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United Kingdom within the meaning of the Financial Services and Markets Act 2000.</w:t>
      </w:r>
    </w:p>
    <w:p>
      <w:pPr>
        <w:spacing w:after="0" w:line="187"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ADSs in the United Kingdom means the communication in any form and by any means of sufficient information on the terms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offer and any ADSs to be offered so as to enable an investor to decide to purchase or subscribe for any ADSs, and the expression “UK Prospectus Regulation” means the UK version of Regulation (EU) No 2017/1129 as amended by The Prospectus (Amendment etc.) (EU Exit) Regulations 2019, which is part of UK law by virtue of the European Union (Withdrawal) Act 2018.</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EXPENSES RELATING TO THIS OFFERING</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listing fee, all amounts are estimates. The Company will pay all of the expenses of this offering.</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480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U.S. Securities and Exchange Commission registration fee</w:t>
            </w:r>
          </w:p>
        </w:tc>
        <w:tc>
          <w:tcPr>
            <w:tcW w:w="5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320"/>
              <w:spacing w:after="0" w:line="185"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53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5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53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3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5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30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300" w:type="dxa"/>
            <w:vAlign w:val="bottom"/>
            <w:vMerge w:val="restart"/>
          </w:tcPr>
          <w:p>
            <w:pPr>
              <w:jc w:val="right"/>
              <w:ind w:right="4370"/>
              <w:spacing w:after="0"/>
              <w:rPr>
                <w:sz w:val="20"/>
                <w:szCs w:val="20"/>
                <w:color w:val="auto"/>
              </w:rPr>
            </w:pPr>
            <w:r>
              <w:rPr>
                <w:rFonts w:ascii="Times New Roman" w:cs="Times New Roman" w:eastAsia="Times New Roman" w:hAnsi="Times New Roman"/>
                <w:sz w:val="18"/>
                <w:szCs w:val="18"/>
                <w:color w:val="auto"/>
              </w:rPr>
              <w:t>267</w:t>
            </w: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of U.S. federal securities and New York state law. The underwriters are being represented by Cleary Gottlieb Steen &amp; Hamilton LLP with respect to certain legal matters as to United States federal securities and New York State law. The validity of the Class A ordinary shares represented by the ADSs offered in this offering and other certain legal matters as to Cayman Islands law will be passed upon for us by Maples and Calder (Hong Kong) LLP. Legal matters as to PRC law will be passed upon for us by Haiwen &amp; Partners and for the underwriters by Jingtian &amp; Gongcheng. Davis Polk &amp; Wardwell LLP may rely upon Maples and Calder (Hong Kong) LLP with respect to matters governed by Cayman Islands law and Haiwen &amp; Partners with respect to matters governed by PRC law. Cleary Gottlieb Steen &amp; Hamilton LLP may rely upon Jingtian &amp; Gongcheng Law Firm with respect to matters governed by PRC law.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combined financial statements of DSC Holdings Ltd. at December 31, 2022 and 2021, and for the years then ended, appearing in this Prospectus and Registration Statement have been audited by Ernst &amp; Young Hua Ming LLP, independent registered public accounting firm, as set forth in their report thereon appearing elsewhere herein, and are included in reliance upon such report given on the authority of such firm as experts in accounting and auditing.</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office of Ernst &amp; Young Hua Ming LLP is located at 16th Floor, Ernst &amp; Young Tower, Oriental Plaza, No. 1 East Chang’an Avenue, Dong Cheng District, Beijing, China.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INDEX TO FINANCIAL STATEMENTS</w:t>
      </w:r>
    </w:p>
    <w:p>
      <w:pPr>
        <w:spacing w:after="0" w:line="250"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900" w:type="dxa"/>
            <w:vAlign w:val="bottom"/>
            <w:gridSpan w:val="16"/>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Audited Combined Financial Statements</w:t>
            </w:r>
          </w:p>
        </w:tc>
        <w:tc>
          <w:tcPr>
            <w:tcW w:w="5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r>
      <w:tr>
        <w:trPr>
          <w:trHeight w:val="194"/>
        </w:trPr>
        <w:tc>
          <w:tcPr>
            <w:tcW w:w="990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1408)</w:t>
            </w:r>
          </w:p>
        </w:tc>
        <w:tc>
          <w:tcPr>
            <w:tcW w:w="10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56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Combined Balance Sheets as of December 31, 2021 and 2022</w:t>
            </w:r>
          </w:p>
        </w:tc>
        <w:tc>
          <w:tcPr>
            <w:tcW w:w="424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 F-5</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196"/>
        </w:trPr>
        <w:tc>
          <w:tcPr>
            <w:tcW w:w="7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Comprehensive Loss for the Years Ended December 31, 2021 and 2022</w:t>
            </w:r>
          </w:p>
        </w:tc>
        <w:tc>
          <w:tcPr>
            <w:tcW w:w="2880" w:type="dxa"/>
            <w:vAlign w:val="bottom"/>
            <w:gridSpan w:val="6"/>
          </w:tcPr>
          <w:p>
            <w:pPr>
              <w:spacing w:after="0"/>
              <w:rPr>
                <w:sz w:val="17"/>
                <w:szCs w:val="17"/>
                <w:color w:val="auto"/>
              </w:rPr>
            </w:pPr>
          </w:p>
        </w:tc>
        <w:tc>
          <w:tcPr>
            <w:tcW w:w="10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78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Changes in Shareholders’ Deficit for the Years Ended December 31, 2021 and 2022</w:t>
            </w:r>
          </w:p>
        </w:tc>
        <w:tc>
          <w:tcPr>
            <w:tcW w:w="2040" w:type="dxa"/>
            <w:vAlign w:val="bottom"/>
            <w:gridSpan w:val="5"/>
          </w:tcPr>
          <w:p>
            <w:pPr>
              <w:spacing w:after="0"/>
              <w:rPr>
                <w:sz w:val="17"/>
                <w:szCs w:val="17"/>
                <w:color w:val="auto"/>
              </w:rPr>
            </w:pPr>
          </w:p>
        </w:tc>
        <w:tc>
          <w:tcPr>
            <w:tcW w:w="10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9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 for the Years Ended December 31, 2021 and 2022</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 F-9</w:t>
            </w:r>
          </w:p>
        </w:tc>
      </w:tr>
      <w:tr>
        <w:trPr>
          <w:trHeight w:val="196"/>
        </w:trPr>
        <w:tc>
          <w:tcPr>
            <w:tcW w:w="63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Combined Financial Statements</w:t>
            </w:r>
          </w:p>
        </w:tc>
        <w:tc>
          <w:tcPr>
            <w:tcW w:w="356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 F-47</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4"/>
        </w:trPr>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and Consolidated Financial Statements</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4"/>
        </w:trPr>
        <w:tc>
          <w:tcPr>
            <w:tcW w:w="990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Unaudited Interim Condensed Combined and Consolidated Balance Sheets as of December 31, 2022 and June 30, 2023</w:t>
            </w: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F-48</w:t>
            </w:r>
          </w:p>
        </w:tc>
        <w:tc>
          <w:tcPr>
            <w:tcW w:w="5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 F-51</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20" w:type="dxa"/>
            <w:vAlign w:val="bottom"/>
            <w:gridSpan w:val="5"/>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94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Interim Condensed Combined and Consolidated Statements of Comprehensive Loss for the Six Months Ended June 30,</w:t>
            </w:r>
          </w:p>
        </w:tc>
        <w:tc>
          <w:tcPr>
            <w:tcW w:w="5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9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2022 and 2023</w:t>
            </w:r>
          </w:p>
        </w:tc>
        <w:tc>
          <w:tcPr>
            <w:tcW w:w="10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F-52</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96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Interim Condensed Combined and Consolidated Statements of Changes in Shareholders’ Deficit for the Six Months Ended</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June 30, 2022 and 2023</w:t>
            </w:r>
          </w:p>
        </w:tc>
        <w:tc>
          <w:tcPr>
            <w:tcW w:w="8000" w:type="dxa"/>
            <w:vAlign w:val="bottom"/>
            <w:gridSpan w:val="12"/>
          </w:tcPr>
          <w:p>
            <w:pPr>
              <w:spacing w:after="0"/>
              <w:rPr>
                <w:sz w:val="17"/>
                <w:szCs w:val="17"/>
                <w:color w:val="auto"/>
              </w:rPr>
            </w:pPr>
          </w:p>
        </w:tc>
        <w:tc>
          <w:tcPr>
            <w:tcW w:w="10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F-53</w:t>
            </w:r>
          </w:p>
        </w:tc>
      </w:tr>
      <w:tr>
        <w:trPr>
          <w:trHeight w:val="196"/>
        </w:trPr>
        <w:tc>
          <w:tcPr>
            <w:tcW w:w="9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Unaudited Interim Condensed Combined and Consolidated Statements of Cash Flows for the Six Months Ended June 30, 2022 and</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7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F-54</w:t>
            </w:r>
          </w:p>
        </w:tc>
        <w:tc>
          <w:tcPr>
            <w:tcW w:w="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 F-55</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Notes to the Unaudited Interim Condensed Combined and Consolidated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c>
          <w:tcPr>
            <w:tcW w:w="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 F-71</w:t>
            </w: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80" w:type="dxa"/>
            <w:vAlign w:val="bottom"/>
            <w:tcBorders>
              <w:top w:val="single" w:sz="8" w:color="0000EE"/>
            </w:tcBorders>
            <w:gridSpan w:val="3"/>
          </w:tcPr>
          <w:p>
            <w:pPr>
              <w:ind w:left="940"/>
              <w:spacing w:after="0"/>
              <w:rPr>
                <w:sz w:val="20"/>
                <w:szCs w:val="20"/>
                <w:color w:val="auto"/>
              </w:rPr>
            </w:pPr>
            <w:r>
              <w:rPr>
                <w:rFonts w:ascii="Times New Roman" w:cs="Times New Roman" w:eastAsia="Times New Roman" w:hAnsi="Times New Roman"/>
                <w:sz w:val="18"/>
                <w:szCs w:val="18"/>
                <w:color w:val="auto"/>
              </w:rPr>
              <w:t>F-1</w:t>
            </w:r>
          </w:p>
        </w:tc>
        <w:tc>
          <w:tcPr>
            <w:tcW w:w="318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DSC Holdings Ltd.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DSC Holdings Ltd. (the Company) as of December 31, 2022 and 2021, the related combined statements of comprehensive loss, changes in shareholders’ deficit and cash flows for the years then ended, and the related notes (collectively referred to as the “combined financial statements”). In our opinion, the combined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14, 2023</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9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2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4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72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116,022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161,012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22,205</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46,878</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105,369</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56,940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92,663</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12,779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19,999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39,762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78,515</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98,082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13,526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318,394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504,028</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69,509</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7,554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16,822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159,626</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130,149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17,948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649,974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649,974</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89,636</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16,881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19,967</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32,492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99,127</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13,670</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46,968</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67,102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7,182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10,614</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5"/>
              </w:rPr>
              <w:t>920,677</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993,755</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1,239,071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1,497,783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206,555</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payable (including amounts of the VIEs and VIEs’ subsidiaries without recourse to the</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primary beneficiary of RMB3,547 and RMB6,075 (US$838) as of December 31, 2021 and 2022,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15,887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27,049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198"/>
        </w:trPr>
        <w:tc>
          <w:tcPr>
            <w:tcW w:w="7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Short-term loans (including amounts of the VIEs and VIEs’ subsidiaries without recourse to the</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primary beneficiary of nil and RMB30,000 (US$4,137) as of December 31, 2021 and 2022,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70,000</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198"/>
        </w:trPr>
        <w:tc>
          <w:tcPr>
            <w:tcW w:w="7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Contract liabilities and customer advance (including amounts of the VIEs and VIEs’ subsidiaries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without recourse to the primary beneficiary of RMB19,777 and RMB21,533 (US$2,970) as of</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2021 and 2022, respectively)</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45,450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65,001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198"/>
        </w:trPr>
        <w:tc>
          <w:tcPr>
            <w:tcW w:w="7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due to related parties (including amounts of the VIEs and VIEs subsidiaries without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recourse to the primary beneficiary of RMB131,485 and RMB4,343 (US$599) as of</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2021 and 2022, respectively)</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353,827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36,132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4,983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BALANCE SHEETS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4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6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 (CONTINUED)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liabilities, current portion (including amounts of the VIEs and VIEs’ subsidiaries without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recourse to the primary beneficiary of RMB4,355 and RMB2,101 (US$290) as of December 31, 2021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2022, respectively)</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11,557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21,318</w:t>
            </w:r>
          </w:p>
        </w:tc>
        <w:tc>
          <w:tcPr>
            <w:tcW w:w="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(including amounts of the VIEs and VIEs’ subsidiaries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without recourse to the primary beneficiary of RMB113,628 and RMB132,779 (US$18,311) as of</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2021 and 2022, respectively)</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176,684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195,732</w:t>
            </w: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26,994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603,405</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415,232</w:t>
            </w:r>
          </w:p>
        </w:tc>
        <w:tc>
          <w:tcPr>
            <w:tcW w:w="16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57,264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Deferred tax liabilities (including amounts of the VIEs and VIEs’ subsidiaries without recourse to the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primary beneficiary of RMB3,441 and RMB3,014 (US$416) as of December 31, 2021 and 2022,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3,014</w:t>
            </w:r>
          </w:p>
        </w:tc>
        <w:tc>
          <w:tcPr>
            <w:tcW w:w="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due to related parties, non-current (including amounts of the VIEs and VIEs’ subsidiaries without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recourse to the primary beneficiary of nil and RMB41,291 (US$5,694) as of December 31, 2021 and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2022, respectively)</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225,576</w:t>
            </w: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31,108</w:t>
            </w:r>
          </w:p>
        </w:tc>
        <w:tc>
          <w:tcPr>
            <w:tcW w:w="0" w:type="dxa"/>
            <w:vAlign w:val="bottom"/>
          </w:tcPr>
          <w:p>
            <w:pPr>
              <w:spacing w:after="0"/>
              <w:rPr>
                <w:sz w:val="1"/>
                <w:szCs w:val="1"/>
                <w:color w:val="auto"/>
              </w:rPr>
            </w:pPr>
          </w:p>
        </w:tc>
      </w:tr>
      <w:tr>
        <w:trPr>
          <w:trHeight w:val="198"/>
        </w:trPr>
        <w:tc>
          <w:tcPr>
            <w:tcW w:w="82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liabilities (including amounts of the VIEs and VIEs’ subsidiaries without recourse to the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primary beneficiary of RMB6,618 and RMB1,808 (US$249) as of December 31, 2021 and 2022,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20,563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76,947</w:t>
            </w:r>
          </w:p>
        </w:tc>
        <w:tc>
          <w:tcPr>
            <w:tcW w:w="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10,611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3,678</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26,206</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309,215</w:t>
            </w:r>
          </w:p>
        </w:tc>
        <w:tc>
          <w:tcPr>
            <w:tcW w:w="16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42,642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629,611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724,447</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6"/>
              </w:rPr>
              <w:t>99,906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A-1 redeemable convertible preferred shares (US$0.0001 par value; 6,250,000 shares authorized,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December 31, 2021 and 2022)</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25,503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25,503</w:t>
            </w:r>
          </w:p>
        </w:tc>
        <w:tc>
          <w:tcPr>
            <w:tcW w:w="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A-2 redeemable convertible preferred shares (US$0.0001 par value; 46,135,648 shares authorized,</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December 31, 2021 and 2022)</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188,258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188,258</w:t>
            </w: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25,962</w:t>
            </w:r>
          </w:p>
        </w:tc>
        <w:tc>
          <w:tcPr>
            <w:tcW w:w="0" w:type="dxa"/>
            <w:vAlign w:val="bottom"/>
          </w:tcPr>
          <w:p>
            <w:pPr>
              <w:spacing w:after="0"/>
              <w:rPr>
                <w:sz w:val="1"/>
                <w:szCs w:val="1"/>
                <w:color w:val="auto"/>
              </w:rPr>
            </w:pPr>
          </w:p>
        </w:tc>
      </w:tr>
      <w:tr>
        <w:trPr>
          <w:trHeight w:val="198"/>
        </w:trPr>
        <w:tc>
          <w:tcPr>
            <w:tcW w:w="82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shares (US$0.0001 par value; 11,185,680 shares authorized,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December 31, 2021 and 2022)</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46,976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46,976</w:t>
            </w:r>
          </w:p>
        </w:tc>
        <w:tc>
          <w:tcPr>
            <w:tcW w:w="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 redeemable convertible preferred shares (US$0.0001 par value; 88,188,400 shares authorized,</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December 31, 2021 and 2022)</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398,275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398,275</w:t>
            </w: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54,925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BALANCE SHEETS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9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 (CONTINUED)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D-1 redeemable convertible preferred shares (US$0.0001 par value; 149,920,280 shares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2021 and 2022)</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756,257</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756,257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104,293</w:t>
            </w:r>
          </w:p>
        </w:tc>
        <w:tc>
          <w:tcPr>
            <w:tcW w:w="0" w:type="dxa"/>
            <w:vAlign w:val="bottom"/>
          </w:tcPr>
          <w:p>
            <w:pPr>
              <w:spacing w:after="0"/>
              <w:rPr>
                <w:sz w:val="1"/>
                <w:szCs w:val="1"/>
                <w:color w:val="auto"/>
              </w:rPr>
            </w:pPr>
          </w:p>
        </w:tc>
      </w:tr>
      <w:tr>
        <w:trPr>
          <w:trHeight w:val="198"/>
        </w:trPr>
        <w:tc>
          <w:tcPr>
            <w:tcW w:w="7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E-1 redeemable convertible preferred shares (US$0.0001 par value; 108,466,752 shares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2021 and 2022)</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660,079</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660,079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91,029</w:t>
            </w: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E-2 redeemable convertible preferred shares (US$0.0001 par value; 166,052,206 shares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2021 and 2022)</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1,106,730</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1,106,730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152,625</w:t>
            </w:r>
          </w:p>
        </w:tc>
        <w:tc>
          <w:tcPr>
            <w:tcW w:w="0" w:type="dxa"/>
            <w:vAlign w:val="bottom"/>
          </w:tcPr>
          <w:p>
            <w:pPr>
              <w:spacing w:after="0"/>
              <w:rPr>
                <w:sz w:val="1"/>
                <w:szCs w:val="1"/>
                <w:color w:val="auto"/>
              </w:rPr>
            </w:pPr>
          </w:p>
        </w:tc>
      </w:tr>
      <w:tr>
        <w:trPr>
          <w:trHeight w:val="198"/>
        </w:trPr>
        <w:tc>
          <w:tcPr>
            <w:tcW w:w="7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E-3 redeemable convertible preferred shares (US$0.0001 par value; 43,099,293 shares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2021 and 2022)</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482,409</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482,409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66,527</w:t>
            </w: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F redeemable convertible preferred shares (US$0.0001 par value; 164,140,119 shares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2021 and 2022)</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2,885,402</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2,885,402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397,915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6,549,889</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6,549,889</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(US$0.0001 par value; 1,216,561,622 shares authorized, 136,159,402 shares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December 31, 2021 and 2022)</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123</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846,334</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1,383,241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190,758</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(6,780,181)</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(7,162,364)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(987,735)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(510)</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DSC Holdings Ltd. shareholders’ deficit</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(5,934,234</w:t>
            </w:r>
          </w:p>
        </w:tc>
        <w:tc>
          <w:tcPr>
            <w:tcW w:w="22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(5,779,489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(797,027)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(6,195)</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2,936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(5,940,429</w:t>
            </w:r>
          </w:p>
        </w:tc>
        <w:tc>
          <w:tcPr>
            <w:tcW w:w="22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(5,776,553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(796,622)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1,239,071</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1,497,783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206,555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6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2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(including revenues from related parties of RMB61,759 and RMB38,652</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(US$5,330) for the years ended December 31, 2021 and 2022, respectively)</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387,485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564,956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77,911</w:t>
            </w:r>
          </w:p>
        </w:tc>
        <w:tc>
          <w:tcPr>
            <w:tcW w:w="0" w:type="dxa"/>
            <w:vAlign w:val="bottom"/>
          </w:tcPr>
          <w:p>
            <w:pPr>
              <w:spacing w:after="0"/>
              <w:rPr>
                <w:sz w:val="1"/>
                <w:szCs w:val="1"/>
                <w:color w:val="auto"/>
              </w:rPr>
            </w:pP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(including cost of revenues from related parties of RMB12,790 and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RMB12,244 (US$1,689) for the years ended December 31, 2021 and 2022, respectively)</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(313,934)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(373,096)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(51,452)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73,551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191,860</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26,459</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(213,379)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(255,922)</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(35,293)</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(128,256)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(205,345)</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(28,318)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(188,745)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(117,905)</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(16,260)</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(530,380)</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(579,172)</w:t>
            </w: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(456,829)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(387,312)</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(53,412)</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(loss) income,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(456,161)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(394,322)</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(54,379)</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benefits (expenses)</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profit from equity method investments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4,529</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(445,294)</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(390,851)</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(8,668)</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DSC Holdings Ltd.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(443,710)</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(382,183)</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136,159,402</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136,159,402</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136,159,402</w:t>
            </w:r>
          </w:p>
        </w:tc>
        <w:tc>
          <w:tcPr>
            <w:tcW w:w="0" w:type="dxa"/>
            <w:vAlign w:val="bottom"/>
          </w:tcPr>
          <w:p>
            <w:pPr>
              <w:spacing w:after="0"/>
              <w:rPr>
                <w:sz w:val="1"/>
                <w:szCs w:val="1"/>
                <w:color w:val="auto"/>
              </w:rPr>
            </w:pPr>
          </w:p>
        </w:tc>
      </w:tr>
      <w:tr>
        <w:trPr>
          <w:trHeight w:val="90"/>
        </w:trPr>
        <w:tc>
          <w:tcPr>
            <w:tcW w:w="6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 of nil: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(445,209)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(390,830)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(53,897)</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DSC Holdings Ltd.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(443,625)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(382,162)</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(52,702)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CHANGES IN SHAREHOLDERS’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 except for number of shares)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Attributable to DSC Holdings Ltd.</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96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vMerge w:val="restart"/>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6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11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60" w:type="dxa"/>
            <w:vAlign w:val="bottom"/>
            <w:gridSpan w:val="2"/>
            <w:vMerge w:val="continue"/>
          </w:tcPr>
          <w:p>
            <w:pPr>
              <w:spacing w:after="0"/>
              <w:rPr>
                <w:sz w:val="15"/>
                <w:szCs w:val="15"/>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06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RMB</w:t>
            </w:r>
          </w:p>
        </w:tc>
        <w:tc>
          <w:tcPr>
            <w:tcW w:w="9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136,159,402</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(595)</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(6,336,471)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(4,611)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(6,341,554)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center"/>
              <w:ind w:left="374"/>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(443,710)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(445,294)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tcPr>
          <w:p>
            <w:pPr>
              <w:jc w:val="center"/>
              <w:ind w:left="374"/>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Predecessor</w:t>
            </w:r>
          </w:p>
        </w:tc>
        <w:tc>
          <w:tcPr>
            <w:tcW w:w="1120" w:type="dxa"/>
            <w:vAlign w:val="bottom"/>
            <w:gridSpan w:val="2"/>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843,621</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843,621</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136,159,402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123</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846,334</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(6,780,181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(6,195)</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(5,940,429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(382,183)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(8,668)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(390,851)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tcPr>
          <w:p>
            <w:pPr>
              <w:jc w:val="center"/>
              <w:ind w:left="374"/>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Predecessor</w:t>
            </w:r>
          </w:p>
        </w:tc>
        <w:tc>
          <w:tcPr>
            <w:tcW w:w="1120" w:type="dxa"/>
            <w:vAlign w:val="bottom"/>
            <w:gridSpan w:val="2"/>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539,916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539,916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Deemed distribution to noncontrolling interest</w:t>
            </w:r>
          </w:p>
        </w:tc>
        <w:tc>
          <w:tcPr>
            <w:tcW w:w="1120" w:type="dxa"/>
            <w:vAlign w:val="bottom"/>
            <w:gridSpan w:val="2"/>
          </w:tcPr>
          <w:p>
            <w:pPr>
              <w:jc w:val="center"/>
              <w:ind w:left="374"/>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3,009</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 from noncontrolling interest</w:t>
            </w:r>
          </w:p>
        </w:tc>
        <w:tc>
          <w:tcPr>
            <w:tcW w:w="1120" w:type="dxa"/>
            <w:vAlign w:val="bottom"/>
            <w:gridSpan w:val="2"/>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14,790</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14,790</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136,159,402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123</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1,383,241</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(7,162,364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2,936</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(5,776,553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 in US$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190,758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(987,735)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(796,622)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8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r>
      <w:tr>
        <w:trPr>
          <w:trHeight w:val="142"/>
        </w:trPr>
        <w:tc>
          <w:tcPr>
            <w:tcW w:w="8240" w:type="dxa"/>
            <w:vAlign w:val="bottom"/>
          </w:tcPr>
          <w:p>
            <w:pPr>
              <w:spacing w:after="0"/>
              <w:rPr>
                <w:sz w:val="12"/>
                <w:szCs w:val="12"/>
                <w:color w:val="auto"/>
              </w:rPr>
            </w:pPr>
          </w:p>
        </w:tc>
        <w:tc>
          <w:tcPr>
            <w:tcW w:w="7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6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(445,294)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(390,851)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(53,900)</w:t>
            </w: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38,892</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36,255</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of allowance for credit losses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8,706</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11,271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(10,675)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profit from equity method investments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2,713</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from equity method investment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(33,882)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(64,467)</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(8,890)</w:t>
            </w: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(38,541)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(35,722)</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(4,926)</w:t>
            </w: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(6,649)</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(19,922)</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(2,747)</w:t>
            </w: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8,514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(24,702)</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(3,407)</w:t>
            </w: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(3,432)</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3,660</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 and customer advance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19,551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2,696</w:t>
            </w: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48,482</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19,049</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2,628</w:t>
            </w: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2,202</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1,563</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(428,120)</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(440,379)</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(60,729)</w:t>
            </w:r>
          </w:p>
        </w:tc>
        <w:tc>
          <w:tcPr>
            <w:tcW w:w="140" w:type="dxa"/>
            <w:vAlign w:val="bottom"/>
          </w:tcPr>
          <w:p>
            <w:pPr>
              <w:spacing w:after="0"/>
              <w:rPr>
                <w:sz w:val="20"/>
                <w:szCs w:val="20"/>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fixed assets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(15,732)</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(22,900)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(3,158)</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short-term investments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104,800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3,158</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long-term investments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(11,393)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(15,021)</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(16,345)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c>
          <w:tcPr>
            <w:tcW w:w="140" w:type="dxa"/>
            <w:vAlign w:val="bottom"/>
          </w:tcPr>
          <w:p>
            <w:pPr>
              <w:spacing w:after="0"/>
              <w:rPr>
                <w:sz w:val="19"/>
                <w:szCs w:val="19"/>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60" w:type="dxa"/>
            <w:vAlign w:val="bottom"/>
          </w:tcPr>
          <w:p>
            <w:pPr>
              <w:spacing w:after="0"/>
              <w:rPr>
                <w:sz w:val="15"/>
                <w:szCs w:val="15"/>
                <w:color w:val="auto"/>
              </w:rPr>
            </w:pPr>
          </w:p>
        </w:tc>
        <w:tc>
          <w:tcPr>
            <w:tcW w:w="26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7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72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64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Predecessor</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63,258</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38,558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loans provided by Predecessor</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409,606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355,445</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49,018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loans provided by third parties</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loans provided by related parties</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14,790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472,864</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508,793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70,165</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29,808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52,090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7,184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86,254</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116,062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16,006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116,062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168,152</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23,190</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116,022</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161,012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22,205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shows in the statement of cash flows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116,062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168,152</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23,190</w:t>
            </w:r>
          </w:p>
        </w:tc>
        <w:tc>
          <w:tcPr>
            <w:tcW w:w="0" w:type="dxa"/>
            <w:vAlign w:val="bottom"/>
          </w:tcPr>
          <w:p>
            <w:pPr>
              <w:spacing w:after="0"/>
              <w:rPr>
                <w:sz w:val="1"/>
                <w:szCs w:val="1"/>
                <w:color w:val="auto"/>
              </w:rPr>
            </w:pPr>
          </w:p>
        </w:tc>
      </w:tr>
      <w:tr>
        <w:trPr>
          <w:trHeight w:val="331"/>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2,789</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324"/>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Predecessor through waiver of debt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780,363</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501,358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69,140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17"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1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DSC Holdings Ltd. (the “Company”, “DSC”) was incorporated in the Cayman Islands in July 2021 as a wholly owned subsidiary of Souche Holdings Ltd. (“Souche Holdings”, or the “Predecessor”). The Company (and its Predecessor prior to the restructuring), through its subsidiaries, the variable interest entities (“VIEs”) and VIEs’ subsidiaries (collectively, the “Group”), provides digitalization solutions and transaction services enabling automobile merchants to digitalize, integrate and optimize their operations in the People’s Republic of China (the “PRC”).</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 Restructuring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October 1, 2022, the board of directors of Souche Holdings approved a resolution to split the Predecessor’s businesses, whereby the digitalization solutions and transaction services (the “Listing Businesses”) were transferred from the Predecessor to the Company (the “Restructuring”). The Restructuring was executed in the following steps:</w:t>
      </w:r>
    </w:p>
    <w:p>
      <w:pPr>
        <w:spacing w:after="0" w:line="81" w:lineRule="exact"/>
        <w:rPr>
          <w:sz w:val="20"/>
          <w:szCs w:val="20"/>
          <w:color w:val="auto"/>
        </w:rPr>
      </w:pPr>
    </w:p>
    <w:p>
      <w:pPr>
        <w:jc w:val="both"/>
        <w:ind w:left="1080" w:right="20" w:hanging="358"/>
        <w:spacing w:after="0" w:line="256"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Souche Holdings received the Company’s ordinary shares and/or convertible redeemable preferred shares through a distribution in species by Souche Holdings, or in some cases, warrants to purchase the Company’s ordinary shares and/or preferred shares (the “Restructuring Warrants”). Holders of these warrants were entitled to the equivalent rights and obligations as the underlying ordinary shares and/or preferred shares as if they had been exercised, such that each shareholder’s right and equity interests in the Company were identical to their rights and equity interests in Souche Holdings. The Restructuring Warrants were fully exercised and converted into ordinary shares or preferred shares prior to the completion of the Restructuring.</w:t>
      </w:r>
    </w:p>
    <w:p>
      <w:pPr>
        <w:spacing w:after="0" w:line="92" w:lineRule="exact"/>
        <w:rPr>
          <w:rFonts w:ascii="Times New Roman" w:cs="Times New Roman" w:eastAsia="Times New Roman" w:hAnsi="Times New Roman"/>
          <w:sz w:val="18"/>
          <w:szCs w:val="18"/>
          <w:color w:val="auto"/>
        </w:rPr>
      </w:pPr>
    </w:p>
    <w:p>
      <w:pPr>
        <w:jc w:val="both"/>
        <w:ind w:left="1080" w:right="20" w:hanging="358"/>
        <w:spacing w:after="0" w:line="266"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Souche Holdings transferred Hangzhou Dasouche Information Technology Services Co., Ltd. (“Hangzhou Dasouche”), Cheyipai (Beijing) Automotive Technology Services Co., Ltd., (“Cheyipai”) and Sichuan Dasouche Software Technology Co., Ltd. (collectively, the “WFOEs”) to the Group’s wholly-owned Hong Kong investment holding companies.</w:t>
      </w:r>
    </w:p>
    <w:p>
      <w:pPr>
        <w:spacing w:after="0" w:line="81" w:lineRule="exact"/>
        <w:rPr>
          <w:rFonts w:ascii="Times New Roman" w:cs="Times New Roman" w:eastAsia="Times New Roman" w:hAnsi="Times New Roman"/>
          <w:sz w:val="18"/>
          <w:szCs w:val="18"/>
          <w:color w:val="auto"/>
        </w:rPr>
      </w:pPr>
    </w:p>
    <w:p>
      <w:pPr>
        <w:jc w:val="both"/>
        <w:ind w:left="1080" w:hanging="358"/>
        <w:spacing w:after="0" w:line="261"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Souche Holdings transferred certain PRC operating companies operating the Listing Businesses to the WFOEs through a series of equity transactions at nominal consideration. Further, in May and June 2023, the nominee shareholders of the existing VIEs, Hangzhou Souche Network Technology Co., Ltd. and Beijing Peak Technology Co., Ltd., entered into a series of new contractual arrangements which enabled Hangzhou Dasouche and Cheyipai to consolidate the VIEs and their subsidiaries.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principal subsidiaries, VIEs and subsidiaries of the VIEs upon completion of the Restructuring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12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tc>
        <w:tc>
          <w:tcPr>
            <w:tcW w:w="24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0" w:type="dxa"/>
            <w:vAlign w:val="bottom"/>
          </w:tcPr>
          <w:p>
            <w:pPr>
              <w:spacing w:after="0"/>
              <w:rPr>
                <w:sz w:val="1"/>
                <w:szCs w:val="1"/>
                <w:color w:val="auto"/>
              </w:rPr>
            </w:pPr>
          </w:p>
        </w:tc>
      </w:tr>
      <w:tr>
        <w:trPr>
          <w:trHeight w:val="178"/>
        </w:trPr>
        <w:tc>
          <w:tcPr>
            <w:tcW w:w="2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Hangzhou Dasouche Information</w:t>
            </w:r>
          </w:p>
        </w:tc>
        <w:tc>
          <w:tcPr>
            <w:tcW w:w="2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October 2, 2021</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Service Co., Ltd.</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CheYiPai (Beijing) Automotive</w:t>
            </w:r>
          </w:p>
        </w:tc>
        <w:tc>
          <w:tcPr>
            <w:tcW w:w="2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February 22, 2012</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Investment holding and other services</w:t>
            </w: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Service Co., Ltd.</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F-10</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1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(continued)</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4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4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4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458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4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Zhejiang Dasouche</w:t>
            </w:r>
          </w:p>
        </w:tc>
        <w:tc>
          <w:tcPr>
            <w:tcW w:w="6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45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0" w:type="dxa"/>
            <w:vAlign w:val="bottom"/>
          </w:tcPr>
          <w:p>
            <w:pPr>
              <w:spacing w:after="0"/>
              <w:rPr>
                <w:sz w:val="1"/>
                <w:szCs w:val="1"/>
                <w:color w:val="auto"/>
              </w:rPr>
            </w:pPr>
          </w:p>
        </w:tc>
      </w:tr>
      <w:tr>
        <w:trPr>
          <w:trHeight w:val="178"/>
        </w:trPr>
        <w:tc>
          <w:tcPr>
            <w:tcW w:w="2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July 4, 2018</w:t>
            </w:r>
          </w:p>
        </w:tc>
        <w:tc>
          <w:tcPr>
            <w:tcW w:w="80" w:type="dxa"/>
            <w:vAlign w:val="bottom"/>
          </w:tcPr>
          <w:p>
            <w:pPr>
              <w:spacing w:after="0"/>
              <w:rPr>
                <w:sz w:val="15"/>
                <w:szCs w:val="15"/>
                <w:color w:val="auto"/>
              </w:rPr>
            </w:pPr>
          </w:p>
        </w:tc>
        <w:tc>
          <w:tcPr>
            <w:tcW w:w="13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PRC</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15"/>
                <w:szCs w:val="15"/>
                <w:color w:val="auto"/>
              </w:rPr>
            </w:pPr>
          </w:p>
        </w:tc>
        <w:tc>
          <w:tcPr>
            <w:tcW w:w="458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Digitalization solutions services</w:t>
            </w: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Ltd.</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Hangzhou Souche Cloud</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April 19, 2020</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SaaS services and used car inspection and certification services</w:t>
            </w: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 Ltd.</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Beijing Shared Logistics</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May 25, 2016</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Delivery services</w:t>
            </w:r>
          </w:p>
        </w:tc>
        <w:tc>
          <w:tcPr>
            <w:tcW w:w="0" w:type="dxa"/>
            <w:vAlign w:val="bottom"/>
          </w:tcPr>
          <w:p>
            <w:pPr>
              <w:spacing w:after="0"/>
              <w:rPr>
                <w:sz w:val="1"/>
                <w:szCs w:val="1"/>
                <w:color w:val="auto"/>
              </w:rPr>
            </w:pPr>
          </w:p>
        </w:tc>
      </w:tr>
      <w:tr>
        <w:trPr>
          <w:trHeight w:val="212"/>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 Ltd.</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Hangzhou Souche</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July 3, 2019</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Nil</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Network Technology</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Ltd.</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Beijing Peak Technology</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February 26, 2015</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Nil</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B2B transaction facilitation services</w:t>
            </w:r>
          </w:p>
        </w:tc>
        <w:tc>
          <w:tcPr>
            <w:tcW w:w="0" w:type="dxa"/>
            <w:vAlign w:val="bottom"/>
          </w:tcPr>
          <w:p>
            <w:pPr>
              <w:spacing w:after="0"/>
              <w:rPr>
                <w:sz w:val="1"/>
                <w:szCs w:val="1"/>
                <w:color w:val="auto"/>
              </w:rPr>
            </w:pPr>
          </w:p>
        </w:tc>
      </w:tr>
      <w:tr>
        <w:trPr>
          <w:trHeight w:val="212"/>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Ltd.</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 of the VIEs:</w:t>
            </w: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Beijing Yunyang</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February 26, 2016</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Nil</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Digitalization solutions services</w:t>
            </w: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Technology</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Ltd. (“Beijing</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Yunyang”)</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Beijing Yunche Network</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April 21, 2015</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Nil</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Delivery services</w:t>
            </w: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 Ltd.</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Beijing Chehang 168</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April 10, 2014</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Nil</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SaaS services and other services</w:t>
            </w: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Technology</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Ltd.</w:t>
            </w: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 for the Restructuring</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shareholders’ equity interest percentages and shareholder rights of DSC Holdings Ltd. are the same as their interests in Souche Holdings Ltd. immediately before and after the Restructuring. Accordingly, the Group accounted for the Restructuring as a transaction between entities under common ownership, which is akin to a restructuring of entities under common control in a manner similar to a pooling of interests. Therefore, the accompanying combined financial statements of the Group include the assets, liabilities, revenue, expenses, and cash flows that are directly attributable to the Listing Businesses for all periods presented and are prepared as if the corporate structure of the Group upon the completion of the Restructuring had been in existence since the beginning of the periods presented.</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assets and liabilities are generally stated at historical carrying amounts. Those assets and liabilities that are specifically related to the Listing Businesses are included in the Group’s combined balance sheets. The Company’s equity structure was retrospectively adjusted with ordinary shares based on par value and the preferred shares based on their fair value on the Restructuring completion date. The contribution from the Predecessor was presented as “Contribution from Predecessor” in the statements of changes in shareholders’ deficit.</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Group’s combined statements of comprehensive loss include all revenues, costs and expenses directly attributable to the Listing Businesses, including those expenses incurred by the Predecessor and its subsidiaries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(continued)</w:t>
      </w:r>
    </w:p>
    <w:p>
      <w:pPr>
        <w:spacing w:after="0" w:line="135"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but relating solely to the Listing Businesses, reflecting allocations of general corporate expense from the Predecessor primarily related to office rental expenses, office utilities, information technology support and certain corporate functions, including senior management, finance, legal and human resources and other shared expenses. The allocations were made on a direct usage basis when identifiable, with the remainder allocated based on the Group’s headcount as a proportion of the Predecessor’s total headcount. These allocations were made on a basis considered reasonable by management but may differ from actual costs which would have been incurred if the Group operated independently during the periods presented. The following tables set forth the sales and marketing expenses and general and administrative expenses allocated from/(to) the Predecessor for the years ended December 31, 2021 and 2022:</w:t>
      </w:r>
    </w:p>
    <w:p>
      <w:pPr>
        <w:spacing w:after="0" w:line="209"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6020" w:type="dxa"/>
            <w:vAlign w:val="bottom"/>
          </w:tcPr>
          <w:p>
            <w:pPr>
              <w:spacing w:after="0"/>
              <w:rPr>
                <w:sz w:val="12"/>
                <w:szCs w:val="12"/>
                <w:color w:val="auto"/>
              </w:rPr>
            </w:pPr>
          </w:p>
        </w:tc>
        <w:tc>
          <w:tcPr>
            <w:tcW w:w="4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56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tcPr>
          <w:p>
            <w:pPr>
              <w:spacing w:after="0"/>
              <w:rPr>
                <w:sz w:val="12"/>
                <w:szCs w:val="12"/>
                <w:color w:val="auto"/>
              </w:rPr>
            </w:pPr>
          </w:p>
        </w:tc>
        <w:tc>
          <w:tcPr>
            <w:tcW w:w="4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3,169</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15,998</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2,206</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1,492</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(1,093)</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6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4,661</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14,905</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2,055</w:t>
            </w:r>
          </w:p>
        </w:tc>
      </w:tr>
      <w:tr>
        <w:trPr>
          <w:trHeight w:val="20"/>
        </w:trPr>
        <w:tc>
          <w:tcPr>
            <w:tcW w:w="6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the Restructuring, the Predecessor was the sole entity for equity financings. Cash proceeds from such equity financings were allocated on an as-needed basis between the Listing Businesses and other subsidiaries of the Predecessor. All cash allocations to the Listing Businesses were recorded as inter-company loans as opposed to capital contribution from the Predecessor. Some of these inter-company loans were waived subsequently and upon the Restructuring. As a result, the Group’s historical financial information may not be indicative of future results of operations, financial position, shareholders’ deficit and cash flows had the group operated as a stand-alone entity and contracted at arm’s length with unrelated parties for funding.</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 Variable interest entities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PRC laws and regulations restrict and impose condition on direct foreign investment in certain types of business including value-added telecommunication business. The Group operated certain businesses through its VIEs, Hangzhou Souche Network Technology Co., Ltd. and Beijing Peak Technology Co., Ltd., and the VIEs’ subsidiaries in order to comply with the laws and regulations of China. The Company, through its WFOEs in the PRC, entered into a series of contractual agreements (the “Contractual Arrangements”) with the shareholders of each VIE which give the WFOEs the power to direct the activities that most significantly affect the economic performance of the VIEs and receive substantially all economic benefits from the VIEs that potentially could be significant to the VIEs.</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Despite the lack of equity ownership, through the Contractual Arrangements, the nominee shareholders of the VIEs effectively assigned all of their voting rights underlying their equity interests in the VIEs to the applicable WFOEs, who immediately assigned related voting rights in the VIEs to the Company, which give the Company the power to direct the activities that most significantly impact the VIEs’ economic performance. In addition, through the other exclusive agreements, which consist of the voting proxy agreements, exclusive business cooperation agreements, exclusive equity interest option agreements, share pledge agreements, individual shareholder undertaking, spousal undertaking, financial support undertaking letter and proxy agreements, the Company, through its wholly-owned subsidiaries in the PRC, has the right to receive economic benefits from the VIEs that potentially could be significant to the VIEs. Lastly, through the financial support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1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entities (continued)</w:t>
      </w:r>
    </w:p>
    <w:p>
      <w:pPr>
        <w:spacing w:after="0" w:line="13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undertaking letter, the Company has the obligation to absorb losses of the VIEs that could potentially be significant to the VIEs. Therefore, the Company is considered the primary beneficiary of the VIEs and consolidates the VIEs and their subsidiaries. Prior to the Restructuring, the shareholders of each VIE also entered into similar contractual arrangements with the Predecessor, the terms of which are substantially similar to the current Contractual Agreements.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terms of the Contractual Arrangements are further described below:</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Voting Proxy Agreements</w:t>
      </w:r>
    </w:p>
    <w:p>
      <w:pPr>
        <w:spacing w:after="0" w:line="11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voting proxy agreements among the Company’s WFOEs, the VIEs and the VIEs’ shareholders, each shareholder of the VIEs authorizes the corresponding WFOEs, the directors authorized by the WFOEs and their successors, and any liquidator replacing the directors of such WFOEs to exercise on behalf of the shareholders all of the rights as a shareholder of the VIEs including but not limited to the right to propose, convene and attend shareholders’ meetings, exercise voting rights, designate and appoint legal representatives, directors, supervisors, chief executive officers, and other senior management members, sign minutes and file documents with relevant company registries, and exercise voting rights on winding up in accordance with PRC laws and the then-effective articles of association of the VIEs. Each voting proxy agreement is irrevocable and remains in effect for as long as the relevant shareholder or its successor(s) continues to own shares in the VIEs.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Exclusive Business Cooperation Agreements</w:t>
      </w:r>
    </w:p>
    <w:p>
      <w:pPr>
        <w:spacing w:after="0" w:line="119" w:lineRule="exact"/>
        <w:rPr>
          <w:sz w:val="20"/>
          <w:szCs w:val="20"/>
          <w:color w:val="auto"/>
        </w:rPr>
      </w:pPr>
    </w:p>
    <w:p>
      <w:pPr>
        <w:jc w:val="both"/>
        <w:ind w:left="120" w:firstLine="440"/>
        <w:spacing w:after="0" w:line="271" w:lineRule="auto"/>
        <w:rPr>
          <w:sz w:val="20"/>
          <w:szCs w:val="20"/>
          <w:color w:val="auto"/>
        </w:rPr>
      </w:pPr>
      <w:r>
        <w:rPr>
          <w:rFonts w:ascii="Times New Roman" w:cs="Times New Roman" w:eastAsia="Times New Roman" w:hAnsi="Times New Roman"/>
          <w:sz w:val="17"/>
          <w:szCs w:val="17"/>
          <w:color w:val="auto"/>
        </w:rPr>
        <w:t>Pursuant to the exclusive business cooperation agreements among the Company’s WFOEs and the VIEs, the Company’s WFOEs have the exclusive right to provide or designate other parties to provide complete technical, consulting and other services to the VIEs. Without prior written consent of the Company’s WFOEs, the VIEs agree not to accept any similar services provided by any third party and shall not cooperate with any third party regarding the matters ascribed by the exclusive business cooperation agreements. The VIEs agree to pay the Company’s WFOEs services fees, the amount of which will be determined and adjusted, from time to time, at the sole discretion of the Company’s WFOEs, taking into account, profit before taxation, working capital requirements, expenses and taxes and operating profit of the VIEs. The Company’s WFOEs have the exclusive ownership of intellectual property rights created as a result of the performance of the agreements. The agreements will remain effective for ten years and shall be extended for 5 years at a time upon each expiration date indefinitely unless the Company’s WFOEs decide not to extend the agreements. The agreements can only be unilaterally revoked/amended by the Company’s WFOEs, whereas under no circumstance can the VIEs terminate the agreements.</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Exclusive Equity Interest Option Agreements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exclusive equity interest option agreements among the Company’s WFOEs, the VIEs and the VIEs’ shareholders, each shareholder of the VIEs grants an irrevocable and exclusive right to the corresponding WFOEs to purchase, or designate one or more persons to purchase, their equity interests in the VIEs at any time in part or in whole, at the sole and absolute discretion of the WFOEs, to the extent permitted under PRC law at a purchase price of the lower of the total capital contribution to the registered capital of the VIEs multiplied by the percentage of equity interests in the VIEs being purchased and the lowest price allowed under PRC law. In the event that the purchase price is greater than RMB1, the shareholders of each of the VIEs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entities (continued)</w:t>
      </w:r>
    </w:p>
    <w:p>
      <w:pPr>
        <w:spacing w:after="0" w:line="13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agree that any and all proceeds acquired by such shareholders as a result of the exercise of the exclusive right to purchase under this agreement by the respective WFOEs or their designee(s) shall be gifted without compensation to such WFOEs or, as requested by such WFOEs, to their designee(s) in full.</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VIEs and the shareholders of the VIEs jointly and severally covenant that, without prior written consent of the WFOEs, they will not, among others, (i) sell, transfer, dispose, or create any pledge or encumbrance on any equity, assets or business of the VIEs, (ii) increase or decrease the VIEs’ registered capital, change its structure of registered capital, or amend the VIEs’ articles of association, (iii) vote in favor of any shareholder resolution to declare or distribute any dividends or other distributions, if dividends or other form of assets were distributed, the shareholders are required to transfer all received distribution to the WFOEs or their designees, (iv) merge with or acquire other entity or make any investments, (v) enter into any material contracts outside of ordinary course of business, (vi) allow the VIEs to incur any borrowings or loans or guarantee in any form, (vii) appoint or replace any directors or management which shall be appoint/terminate by the WFOEs to operate the VIEs. These agreements will remain in effect for a period of ten years and shall be extended for 5 years at a time upon each expiration date indefinitely unless the Company’s WFOEs decide not to extend the agreement and provide written notice to the VIEs and the shareholders of the VIEs at least 30 days before the end of the term.</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Share Pledge Agreements</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share pledge agreements among the Company’s WFOEs, the VIEs and VIEs’ shareholders, shareholders of the VIEs pledged all of their respective equity interests in the VIEs (the “Pledge”) to the Company’s WFOEs as security for performance of the obligations of the VIEs and their shareholders under the Contractual Arrangements including, among others, the exclusive business cooperation agreements, the exclusive equity interest option agreements and the voting proxy agreements. The term of the Pledge shall end when the last obligation secured by the Pledge is paid or fully fulfilled. The WFOEs are entitled to collect dividends and distributable profits on the pledged equity during the effective period of the share pledge agreements. After the completion of the equity pledge registrations, in the event of a breach by the VIEs or their shareholders of their obligations under the foregoing agreements, the Company’s WFOEs, as pledgee, will have the right, but not the obligation, to dispose of the pledged equity interests in accordance with the provision of the share pledge agreements. Once the Company’s WFOEs elect to dispose the pledge, the shareholders of the VIEs shall cease to be entitled to any rights or interests associated with the equity interest. The shareholders of the VIEs also agree not to transfer the pledged equity interests or allow any security interest or other encumbrance on property rights that could affect the Company’s WFOEs’ rights and interests in the pledged equity interests, unless, approved by the Company’s WFOEs in writing during the term of the share pledge agreement.</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Individual Shareholder Undertaking</w:t>
      </w:r>
    </w:p>
    <w:p>
      <w:pPr>
        <w:spacing w:after="0" w:line="11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individual shareholder undertaking, each of the registered shareholder of the VIEs confirms and irrevocably covenants that their equity interests and all the rights or interests attached thereto will be transferred free of charge and unconditionally to the respective WFOEs or any natural person or legal person designated by the WFOEs in the event of their death or other unforeseen events that render them unable to fulfill their obligations under the relevant share pledge agreements, exclusive equity interest option agreements, and voting proxy agreements. Additionally, the shareholder agrees that his or her spouse does not own and cannot dispose of the equity interests and all the rights or interests attached thereto in the VIEs, and the shareholder will not take actions that compete with the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entities (continued)</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Spousal Undertaking</w:t>
      </w:r>
    </w:p>
    <w:p>
      <w:pPr>
        <w:spacing w:after="0" w:line="11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spousal undertaking, the spouses of the applicable registered shareholders of the VIEs acknowledge and confirm the execution of the relevant share pledge agreements, exclusive equity interest option agreements and voting proxy agreements, and unconditionally and irrevocably agrees that the equity interest and all right or interest attached thereto in the VIEs held by and registered in the name of his or her respective spouse will be disposed of pursuant to these agreements. In addition, each of them agrees not to assert any rights over the equity interest and all right or interest attached thereto in the VIEs held by his or her respective spouses. In addition, in the event that any of them obtains any equity interest in the VIEs held by their respective spouses for any reason, such spouses agree to be bound by similar obligations and agree to enter into similar contractual arrangements.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support undertaking letter</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financial support undertaking letter, the Company is obligated and hereby undertakes to provide unlimited financial support to the VIEs, to the extent permissible under the applicable PRC laws and regulations, whether or not any such operational loss is actually incurred. The financial support can take various forms, including but are not limited to cash transfer, entrusted loans, or borrowings. The Company will not request repayment of the loans or borrowings if the VIEs or its nominee shareholders do not have sufficient funds or are unable to repay. The letter is effective until the earlier of (i) the date on which all of the equity interests of the VIEs have been acquired by us or our designee, and (ii) the date on which we, in our sole and absolute discretion, unilaterally terminate the applicable financial support undertaking letters.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Proxy Agreements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proxy agreements between the Company and the Company’s WFOEs, the WFOEs irrevocably and unconditionally commit to execute their rights under the voting proxy agreements entered into among the WFOEs, the VIEs and VIEs’ shareholders in accordance with the instructions from the Company.</w:t>
      </w:r>
    </w:p>
    <w:p>
      <w:pPr>
        <w:spacing w:after="0" w:line="17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Group conducted certain businesses through the VIEs and VIEs’s subsidiaries, of which the Company is the ultimate primary beneficiary. In the Company’s opinion, (i) the ownership structures of the VIEs and the WFOEs in China, both currently and immediately after giving effect to this offering, are not in violation of applicable PRC laws and regulations currently in effect; (ii) the contractual arrangements among the WFOEs, VIEs and their shareholders governed by PRC law are currently valid and binding in accordance with the applicable PRC laws and regulations currently in effect and do not result in any violation of the applicable PRC laws or regulations currently in effect; and (iii) the voting proxy agreements between the Company and the WFOEs are not in violation of the articles of association of the Company and Cayman Islands Law.</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January 1, 2020, the Foreign Investment Law came into effect and became the principal laws and regulations governing foreign investment in the PRC. The Foreign Investment Law requires compliance with a negative industry catalog (the “Negative List”) which sets forth the business that are restricted and prohibited from foreign investment. The Foreign Investment Law does not explicitly classify contractual arrangements as a form of foreign investment, but it contains a catch-all provision which includes investments made by foreign investors through means stipulated in laws or administrative regulations or other methods prescribed by the State Council. There are uncertainties regarding the interpretation of the Foreign Investment Law with respect to the contractual arrangements as a form of foreign investment. The VIEs’ value-added telecommunication services are included in the Negative List. If any of the contractual arrangements would be deemed as a foreign investment that is prohibited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1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entities (continued)</w:t>
      </w:r>
    </w:p>
    <w:p>
      <w:pPr>
        <w:spacing w:after="0" w:line="13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by the Foreign Investment Law or any other current or future laws, regulations or interpretations, the Company’s ability, through its wholly- owned subsidiaries in the PRC, to enforce its rights under these contractual arrangements with the VIEs and the Company’s ability to conduct business through the VIEs could be severely limited.</w:t>
      </w:r>
    </w:p>
    <w:p>
      <w:pPr>
        <w:spacing w:after="0" w:line="17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if the current organizational structure or any of the contractual arrangements were found to be in violation of any existing and/or future PRC laws or regulations, the Company may be subject to penalties, which may include but not be limited to, the cancellation or revocation of the Company’s business and operating licenses, being required to restructure the Company’s operations or discontinue the Company’s operating activities. The imposition of any of these or other penalties may cause the Company to lose its power to direct the activities that most significantly impact the VIEs and/or the right to receive economic benefits that could potentially be significant to the VIEs based on the contractual arrangements, which may result in the Company no longer being able to consolidate the financial results of the VIEs in the combined financial statements.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Unrecognized revenue-producing assets held by the VIEs mainly include licenses, such as the internet content provision license, electronic data intercharge license and auction permit, trademarks, patents and the domain names. The licenses and permit held by the VIEs are required under the relevant laws and regulations of mainland China for the operation of internet businesses, and therefore are integral to the Company’s operations.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carrying amounts of the assets, liabilities of the VIEs and VIEs’ subsidiaries included in the Company’s combined balance sheets:</w:t>
      </w:r>
    </w:p>
    <w:p>
      <w:pPr>
        <w:spacing w:after="0" w:line="182"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gridSpan w:val="2"/>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55,992</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40,655</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5,607</w:t>
            </w: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45,143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6,226</w:t>
            </w: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19,974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2,755</w:t>
            </w: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3,426</w:t>
            </w:r>
          </w:p>
        </w:tc>
      </w:tr>
      <w:tr>
        <w:trPr>
          <w:trHeight w:val="27"/>
        </w:trPr>
        <w:tc>
          <w:tcPr>
            <w:tcW w:w="3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126,158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137,542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18,970</w:t>
            </w: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159,559</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130,149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17,948</w:t>
            </w: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19,955</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2,752</w:t>
            </w: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4,451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649,974</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649,974</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89,636</w:t>
            </w: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8,686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1,198</w:t>
            </w: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3,098</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5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849,136</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817,680</w:t>
            </w:r>
          </w:p>
        </w:tc>
        <w:tc>
          <w:tcPr>
            <w:tcW w:w="2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112,764</w:t>
            </w:r>
          </w:p>
        </w:tc>
        <w:tc>
          <w:tcPr>
            <w:tcW w:w="80" w:type="dxa"/>
            <w:vAlign w:val="bottom"/>
          </w:tcPr>
          <w:p>
            <w:pPr>
              <w:spacing w:after="0"/>
              <w:rPr>
                <w:sz w:val="20"/>
                <w:szCs w:val="20"/>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the entities within the Group</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138,344</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572,199</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78,910</w:t>
            </w: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1,113,638</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1,527,421</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210,644</w:t>
            </w:r>
          </w:p>
        </w:tc>
        <w:tc>
          <w:tcPr>
            <w:tcW w:w="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2360" w:type="dxa"/>
            <w:vAlign w:val="bottom"/>
            <w:gridSpan w:val="2"/>
          </w:tcPr>
          <w:p>
            <w:pPr>
              <w:jc w:val="right"/>
              <w:ind w:right="1796"/>
              <w:spacing w:after="0"/>
              <w:rPr>
                <w:sz w:val="20"/>
                <w:szCs w:val="20"/>
                <w:color w:val="auto"/>
              </w:rPr>
            </w:pPr>
            <w:r>
              <w:rPr>
                <w:rFonts w:ascii="Times New Roman" w:cs="Times New Roman" w:eastAsia="Times New Roman" w:hAnsi="Times New Roman"/>
                <w:sz w:val="18"/>
                <w:szCs w:val="18"/>
                <w:color w:val="auto"/>
              </w:rPr>
              <w:t>F-16</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 Variable interest entities (continued)</w:t>
      </w:r>
    </w:p>
    <w:p>
      <w:pPr>
        <w:spacing w:after="0" w:line="12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gridSpan w:val="2"/>
          </w:tcPr>
          <w:p>
            <w:pPr>
              <w:jc w:val="center"/>
              <w:ind w:lef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8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loans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 and customer advance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113,628</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132,779</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272,792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196,831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27,145</w:t>
            </w:r>
          </w:p>
        </w:tc>
        <w:tc>
          <w:tcPr>
            <w:tcW w:w="80" w:type="dxa"/>
            <w:vAlign w:val="bottom"/>
            <w:shd w:val="clear" w:color="auto" w:fill="CCEEFF"/>
          </w:tcPr>
          <w:p>
            <w:pPr>
              <w:spacing w:after="0"/>
              <w:rPr>
                <w:sz w:val="18"/>
                <w:szCs w:val="18"/>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10,059</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46,113</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the entities within the Group</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584,960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634,850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87,550</w:t>
            </w:r>
          </w:p>
        </w:tc>
        <w:tc>
          <w:tcPr>
            <w:tcW w:w="80" w:type="dxa"/>
            <w:vAlign w:val="bottom"/>
            <w:shd w:val="clear" w:color="auto" w:fill="CCEEFF"/>
          </w:tcPr>
          <w:p>
            <w:pPr>
              <w:spacing w:after="0"/>
              <w:rPr>
                <w:sz w:val="18"/>
                <w:szCs w:val="18"/>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867,811</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877,794</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121,054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results of operations and cash flows of the VIEs and VIEs’ subsidiaries included in the Company’s combined statements of comprehensive loss and cash flows.</w:t>
      </w:r>
    </w:p>
    <w:p>
      <w:pPr>
        <w:spacing w:after="0" w:line="182"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70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r>
      <w:tr>
        <w:trPr>
          <w:trHeight w:val="198"/>
        </w:trPr>
        <w:tc>
          <w:tcPr>
            <w:tcW w:w="6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Revenues (including revenues from related parties and the entities within the Group</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RMB21,445 and RMB27,578 (US$ 3,803) for the years ended December 31,</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 and 2022, respectively)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238,738</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263,064</w:t>
            </w: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36,278</w:t>
            </w:r>
          </w:p>
        </w:tc>
        <w:tc>
          <w:tcPr>
            <w:tcW w:w="140" w:type="dxa"/>
            <w:vAlign w:val="bottom"/>
            <w:shd w:val="clear" w:color="auto" w:fill="CCEEFF"/>
          </w:tcPr>
          <w:p>
            <w:pPr>
              <w:spacing w:after="0"/>
              <w:rPr>
                <w:sz w:val="20"/>
                <w:szCs w:val="20"/>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of revenues and operating expenses</w:t>
            </w:r>
          </w:p>
        </w:tc>
        <w:tc>
          <w:tcPr>
            <w:tcW w:w="9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(396,432)</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(296,926)</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(40,948)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(144,292)</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(38,740)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(5,342)</w:t>
            </w:r>
          </w:p>
        </w:tc>
      </w:tr>
      <w:tr>
        <w:trPr>
          <w:trHeight w:val="367"/>
        </w:trPr>
        <w:tc>
          <w:tcPr>
            <w:tcW w:w="6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3"/>
        </w:trPr>
        <w:tc>
          <w:tcPr>
            <w:tcW w:w="6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2"/>
                <w:szCs w:val="12"/>
                <w:color w:val="auto"/>
              </w:rPr>
            </w:pPr>
          </w:p>
        </w:tc>
        <w:tc>
          <w:tcPr>
            <w:tcW w:w="920" w:type="dxa"/>
            <w:vAlign w:val="bottom"/>
            <w:gridSpan w:val="2"/>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Pr>
          <w:p>
            <w:pPr>
              <w:spacing w:after="0"/>
              <w:rPr>
                <w:sz w:val="12"/>
                <w:szCs w:val="12"/>
                <w:color w:val="auto"/>
              </w:rPr>
            </w:pPr>
          </w:p>
        </w:tc>
        <w:tc>
          <w:tcPr>
            <w:tcW w:w="7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70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(145,503)</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(22,119)</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from/(used in) investing activities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4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(432,275)</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(59,613)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439,057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60,549</w:t>
            </w:r>
          </w:p>
        </w:tc>
        <w:tc>
          <w:tcPr>
            <w:tcW w:w="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the assets, liabilities, results of operations and cash flows of the VIEs and their subsidiaries are presented in aggregate due to the similarity of the purpose and design of the VIEs and their subsidiaries, the nature of the assets in these VIEs and their subsidiaries and the type of the involvement of the Company in these VIEs and their subsidiaries.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1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entities (continued)</w:t>
      </w:r>
    </w:p>
    <w:p>
      <w:pPr>
        <w:spacing w:after="0" w:line="13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None of the VIEs’ assets are pledged or collateralized for the VIE’s obligations and which can only be used to settle the VIE’s obligations as of December 31, 2021 and 2022. The amount of the net assets of the VIEs was RMB245,827 and RMB649,627 (US$89,590) as of December 31, 2021 and 2022, respectively. The VIEs’ third-party creditors did not have recourse to the general credit of the Company in the normal course of business. The Company did not provide or intend to provide financial or other support not previously contractually required to the VIEs and VIEs’ subsidiaries during the years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Standalone financial statements have not been historically prepared for the Company’s Listing Businesses. These combined financial statements of the Company have been derived from the accounting records of the Predecessor as if the Company had operated on its own during the period presented and were prepared in accordance with U.S. generally accepted accounting principles (“GAAP”) as determined by the Financial Accounting Standards Board (“FASB”) and pursuant to the rules and regulations of the U.S. Securities and Exchange Commission (“SEC”). The primary basis for presenting consolidated financial statements is when one entity has a controlling financial interest in another entity. Prior to the completion of the Restructuring in June 2023, there was no controlling financial interest present between or among the entities that comprise the Company’s Listing Businesses. For the periods presented, the Company prepared its financial statements on a combined basis including the financial statements of the Company, its subsidiaries, the VIEs and the VIEs’ subsidiaries for which the Company is the primary beneficiary. All significant intercompany balances and transactions within the combined businesses of the Company have been eliminated.</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combined financial statements and related disclosures in conformity with U.S. GAAP requires management to make judgments, assumptions and estimates that affect the amounts reported in its financial statements and accompanying notes. Significant estimates reflected in the Company’s combined financial statements include, but are not limited to, the allowance for credit losses of accounts receivable and contract assets, valuation of goodwill and acquired intangible assets, useful lives and projected undiscounted cash flow of long-lived assets, fair value of redeemable convertible preferred shares and share-based payment awards, valuation allowance for deferred tax assets, income tax uncertainties and incremental borrowing rates for operating lease liabilities. Management bases its estimates on historical experience and various other factors believed to be reasonable under the circumstances, the results of which form the basis for making judgments about the carrying value of assets and liabilities. Actual results could materially differ from those estimates.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and its BVI and Hong Kong subsidiaries is the United States dollar (“US$”), whereas the functional currency of the Company’s PRC subsidiaries, VIEs and VIEs’ subsidiaries is the Renminbi (“RMB”). The reporting currency of the Group is the RMB.</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remeasured into the functional currency at the prevailing exchange rates on the transaction dates. Monetary assets and liabilities denominated in foreign currencies are remeasured at the prevailing exchange rates as of each balance sheet date. Non-monetary items that are measured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385" w:lineRule="auto"/>
        <w:tabs>
          <w:tab w:leader="none" w:pos="30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Foreign currency (continued)</w:t>
      </w:r>
    </w:p>
    <w:p>
      <w:pPr>
        <w:spacing w:after="0" w:line="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terms of historical cost in foreign currency are remeasured using the exchange rates at the dates of the initial transactions. Exchange gains and losses are included in the combined statements of comprehensive loss.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Group translates results of operations and financial position using the average exchange rate for the year and the exchange rate at the balance sheet dates respectively. Translation differences are recorded in other comprehensive loss in the combined statements of comprehensive loss.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Amounts in U.S. dollars are presented for the convenience of the reader and are translated at the noon buying rate of RMB7.2513 per US$1.00 on June 30, 2023 as published on the website of the Board of Governors of the Federal Reserve System. No representation is made that the RMB amounts could have been, or could be, converted into US$ at such rate.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time deposits placed with commercial banks with original maturities of three months or less, which are unrestricted as to withdrawal or use.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Restricted cash primarily consists of cash reserved in bank accounts relating to certain litigation matters. Restricted cash is expected to be released to cash within the next 12 months and therefore, classified as a current asset.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 net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Accounts receivable are recorded at the original invoiced amount less an allowance for credit losses. The Group’s conditional right to consideration in exchange for goods or services that has been transferred to a customer is recorded as contract assets, which are then recognized as accounts receivable when the right to consideration becomes unconditional.</w:t>
      </w:r>
    </w:p>
    <w:p>
      <w:pPr>
        <w:spacing w:after="0" w:line="17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Group records an allowance for credit losses in accordance with ASC Topic 326,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(“ASC 326”) as an offset to accounts receivable and contract assets, with the estimated credit losses charged to “General and administrative expense” in the combined statements of comprehensive loss. The Group assesses credit loss by reviewing accounts receivable and contract assets on a collective basis where similar characteristics exist, primarily based on similar business, services or product offerings and on an individual basis when the Group identifies specific customers with known disputes or collectability issues. The Group uses a loss-rate method that considers historical collectability based on past due status, the age of the accounts receivable balances and contract assets balances, credit quality of the Group’s customers based on ongoing credit evaluations, current economic conditions, reasonable and supportable forecasts of future economic conditions. The Group writes off accounts receivable and contract assets when they are determined to be uncollectible and all collection efforts have ceased.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and any recorded impairment, if any. Repair and maintenance costs are charged to expense as incurred, whereas the cost of renewals and betterments that extend the useful lives of fixed assets are capitalized as additions to the related assets. Depreciation is computed using the straight-line method over the estimated useful lives as follows: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Computer and electronic equipment</w:t>
            </w:r>
          </w:p>
        </w:tc>
        <w:tc>
          <w:tcPr>
            <w:tcW w:w="580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388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3 - 5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8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3 - 5 years</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58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3 - 5 years</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Over the shorter of the expected life of leasehold improvements or the lease term</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Acquired intangible assets are carried at cost, less accumulated amortization and impairment, if any. Intangible assets with finite lives are amortized using the straight-line method over the estimated useful lives of the assets.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estimated useful lives of intangible assets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9680" w:type="dxa"/>
            <w:vAlign w:val="bottom"/>
            <w:vMerge w:val="continue"/>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3 - 5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3 - 5 years</w:t>
            </w:r>
          </w:p>
        </w:tc>
        <w:tc>
          <w:tcPr>
            <w:tcW w:w="0" w:type="dxa"/>
            <w:vAlign w:val="bottom"/>
          </w:tcPr>
          <w:p>
            <w:pPr>
              <w:spacing w:after="0"/>
              <w:rPr>
                <w:sz w:val="1"/>
                <w:szCs w:val="1"/>
                <w:color w:val="auto"/>
              </w:rPr>
            </w:pP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Brands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other than goodwill</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Group evaluates long-lived assets, including fixed assets and intangible assets with finite lives, for impairment whenever events or changes in circumstances indicate that the carrying amount of an asset or a long-lived asset group may not be recoverable. When these events occur, the Group assesses the recoverability of these assets (asset group) by determining whether or not the carrying amount of the assets (asset group) will be recovered through the undiscounted future cash flows expected to be generated from their use and eventual disposition. If the sum of the expected undiscounted cash flow is less than the carrying amount of the asset (asset group), the Group recognizes an impairment loss based on the excess of the carrying amount of the asset (asset group) over their fair value. There was no impairment loss recognized for intangible assets or other long-lived assets for all periods presented.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net assets acquired in a business combination. The Group assesses goodwill for impairment at the reporting unit level at least annually and more frequently upon the occurrence of certain events or circumstances that indicate the carrying value may not be recoverable.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Group has the option to assess qualitative factors first to determine whether it is necessary to perform the quantitative test in accordance with ASC 350-20, </w:t>
      </w:r>
      <w:r>
        <w:rPr>
          <w:rFonts w:ascii="Times New Roman" w:cs="Times New Roman" w:eastAsia="Times New Roman" w:hAnsi="Times New Roman"/>
          <w:sz w:val="18"/>
          <w:szCs w:val="18"/>
          <w:i w:val="1"/>
          <w:iCs w:val="1"/>
          <w:color w:val="auto"/>
        </w:rPr>
        <w:t>Intangibles—Goodwill and Other: Goodwill</w:t>
      </w:r>
      <w:r>
        <w:rPr>
          <w:rFonts w:ascii="Times New Roman" w:cs="Times New Roman" w:eastAsia="Times New Roman" w:hAnsi="Times New Roman"/>
          <w:sz w:val="18"/>
          <w:szCs w:val="18"/>
          <w:color w:val="auto"/>
        </w:rPr>
        <w:t xml:space="preserve"> (“ASC 350-20”). In the qualitative assessment, the Group considers primary factors such as industry and market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385" w:lineRule="auto"/>
        <w:tabs>
          <w:tab w:leader="none" w:pos="30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Goodwill (continued)</w:t>
      </w:r>
    </w:p>
    <w:p>
      <w:pPr>
        <w:spacing w:after="0" w:line="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considerations, overall financial performance of the reporting unit, and other specific information related to the operations. If the Group believes, as a result of the qualitative assessment, that it is more-likely-than-not that the fair value of the reporting unit is less than its carrying amount, the Group performs quantitative impairment test by comparing the fair value of the reporting unit with its carrying amount, including goodwill. If the carrying amount of a reporting unit exceeds its fair value, the Group records an impairment loss equal to that excess.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Group elected to bypass the qualitative assessment and proceeded directly to perform the quantitative test for all reporting units for the years ended December 31, 2021 and 2022, with the assistance of an independent third-party valuation firm. The Group estimated fair value using the income approach. No impairment was recorded for the years ended December 31, 2021 and 2022.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Group’s long-term investments consist of equity method investments and equity investments without readily determinable fair value.</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Group accounts for equity investments in entities in which it can exercise significant influence but does not own a majority equity interest nor control as equity method investments in accordance with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 Under the equity method, the Company initially records its investment at cost and subsequently adjusts the carrying amount of its investments to recognize the Group’s share of earnings or losses of these entities, dividends received and other-than-temporary impairment. An impairment loss on the equity method investments is recognized in earnings when the decline in value is determined to be other-than-temporary.</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Group accounts for equity investments without readily determinable fair values and do not qualify for the practical expedient in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(“NAV practical expedient”) using the measurement alternative to measure such investments at cost less any impairment (if any) and adjusted by observable price changes in orderly transactions for the identical or a similar investment of the same issuer, if any.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Fair value accounting is applied for all financial assets and liabilities and non-financial assets and liabilities that are recognized or disclosed at fair value in the combined financial statements on a recurring basis (at least annually) in accordance with ASC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(“ASC 820”). ASC 820 established a fair value hierarchy for instruments measured at fair value that distinguishes between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market data (observable inputs) and the Group’s own assumptions (unobservable inputs). Observable inputs are inputs that market participants would use in pricing the asset or liability based on market data obtained from independent sources. Unobservable inputs are inputs that reflect the Group’s assumptions about the inputs that market participants would use in pricing the assets or liability and are developed based on the best information available in the circumstances. Fair value is the price that would be received to sell an asset or paid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385" w:lineRule="auto"/>
        <w:tabs>
          <w:tab w:leader="none" w:pos="30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Fair value measurements (continued)</w:t>
      </w:r>
    </w:p>
    <w:p>
      <w:pPr>
        <w:spacing w:after="0" w:line="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to transfer a liability, in an orderly transaction between market participants at the measurement date. The Group uses a three-tiered fair value hierarchy, which prioritizes the inputs used in the valuation methodologies in measuring fair value:</w:t>
      </w:r>
    </w:p>
    <w:p>
      <w:pPr>
        <w:spacing w:after="0" w:line="189" w:lineRule="exact"/>
        <w:rPr>
          <w:sz w:val="20"/>
          <w:szCs w:val="20"/>
          <w:color w:val="auto"/>
        </w:rPr>
      </w:pPr>
    </w:p>
    <w:p>
      <w:pPr>
        <w:ind w:left="560"/>
        <w:spacing w:after="0"/>
        <w:tabs>
          <w:tab w:leader="none" w:pos="1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unadjusted, quoted prices in active markets for identical assets or liabilities</w:t>
      </w:r>
    </w:p>
    <w:p>
      <w:pPr>
        <w:spacing w:after="0" w:line="27" w:lineRule="exact"/>
        <w:rPr>
          <w:sz w:val="20"/>
          <w:szCs w:val="20"/>
          <w:color w:val="auto"/>
        </w:rPr>
      </w:pPr>
    </w:p>
    <w:p>
      <w:pPr>
        <w:ind w:left="560"/>
        <w:spacing w:after="0"/>
        <w:tabs>
          <w:tab w:leader="none" w:pos="17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 active markets that are either directly or indirectly observable</w:t>
      </w:r>
    </w:p>
    <w:p>
      <w:pPr>
        <w:spacing w:after="0" w:line="9" w:lineRule="exact"/>
        <w:rPr>
          <w:sz w:val="20"/>
          <w:szCs w:val="20"/>
          <w:color w:val="auto"/>
        </w:rPr>
      </w:pPr>
    </w:p>
    <w:p>
      <w:pPr>
        <w:ind w:left="560"/>
        <w:spacing w:after="0"/>
        <w:tabs>
          <w:tab w:leader="none" w:pos="1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supported by little or no market data</w:t>
      </w:r>
    </w:p>
    <w:p>
      <w:pPr>
        <w:spacing w:after="0" w:line="20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Group’s financial instruments primarily consist of cash and cash equivalents, restricted cash, accounts receivable, amounts due from and due to related parties, other receivables, short-term bank borrowings, accounts payable and certain amount of accrued expenses and other liabilities whose carrying values approximate fair value due to the short-term nature of those instruments. The Group did not have any assets or liabilities measured and recorded at fair value on a non-recurring basis as of December 31, 2021 and 2022.</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Group accounts for share-based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The Company determines whether a share-based award should be accounted for as a liability award or equity award. All of the Group’s share-based awards to employees were classified as equity awards and are measured based on their grant date fair values. For awards with service conditions only, the Group elected to recognize compensation expense using the straight-line method for awards granted with graded vesting provided that the amount of compensation cost recognized at any date is at least equal to the portion of the grant date value of the shares that are vested at that date. For awards with performance and service conditions, the Group evaluated the likelihood of performance condition being met at each reporting period. Share-based compensation costs are recorded when the performance condition are considered probable and recognized using the accelerated method for awards granted with graded vesting. The Group accounted for forfeitures as they occur.</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Group generates revenue from contracts with customers. Revenue is recognized when control of the promised services is transferred to customers in an amount that reflects the consideration that the Group expects to receive in exchange for those services net of value added tax (“VAT”). Determining whether performance obligations should be accounted for separately or combined may require significant judgment. For each performance obligation within a contract, the Group evaluates whether it acts as the principal or as an agent. When the Group acts as the principal, revenue is recognized in the gross amount of the consideration received from the customer at the point in time the services are completed. When the Group acts as the agent, revenue is recognized net of the consideration due to a third party at the point in time when the services are provided.</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contracts with multiple performance obligations, the Group allocates the transaction price to each distinct performance obligation proportionately based on the estimated stand-alone selling price (“SSP”) of each performance obligation. The Group uses an observable price to determine the SSP for each performance obligation. Where observable prices are not available, the Group uses an expected cost-plus margin approach. The Group then determines how the services are transferred to the customer to determine the timing of revenue recognition.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384" w:lineRule="auto"/>
        <w:tabs>
          <w:tab w:leader="none" w:pos="30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Revenue recognition (continued)</w:t>
      </w:r>
    </w:p>
    <w:p>
      <w:pPr>
        <w:spacing w:after="0" w:line="1"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Group utilized the practical expedient under ASC 606-10-50-14,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does not disclose the value of unsatisfied performance obligations for contracts with an original expected length of one year or less.</w:t>
      </w:r>
    </w:p>
    <w:p>
      <w:pPr>
        <w:spacing w:after="0" w:line="16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primary components of the Group’s revenues. This level of disaggregation takes into consideration how the nature, amount and cash flows are affected by economic factors for the years ended December 31, 2021 and 2022:</w:t>
      </w:r>
    </w:p>
    <w:p>
      <w:pPr>
        <w:spacing w:after="0" w:line="17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9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56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66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88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66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Digitalization solutions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118,886</w:t>
            </w: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201,124</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27,736</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363,832</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50,175</w:t>
            </w:r>
          </w:p>
        </w:tc>
      </w:tr>
      <w:tr>
        <w:trPr>
          <w:trHeight w:val="27"/>
        </w:trPr>
        <w:tc>
          <w:tcPr>
            <w:tcW w:w="5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387,485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564,956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77,911</w:t>
            </w:r>
          </w:p>
        </w:tc>
      </w:tr>
      <w:tr>
        <w:trPr>
          <w:trHeight w:val="20"/>
        </w:trPr>
        <w:tc>
          <w:tcPr>
            <w:tcW w:w="5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   Digitalization solutions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Group generates digitalization solutions revenues from two sources: (i) the fees charged to automobile original equipment manufacturers (“OEMs”) for its customer engagement solutions, including the design and development of customer-facing interfaces and full-stack digital infrastructure and solutions, and other value-added services including consulting and other support service to OEMs to help them better manage their customer-facing processes; and (ii) subscription fees charged to new and used-car dealers for a suite of SaaS-based tools and solutions delivered through the Group’s </w:t>
      </w:r>
      <w:r>
        <w:rPr>
          <w:rFonts w:ascii="Times New Roman" w:cs="Times New Roman" w:eastAsia="Times New Roman" w:hAnsi="Times New Roman"/>
          <w:sz w:val="18"/>
          <w:szCs w:val="18"/>
          <w:i w:val="1"/>
          <w:iCs w:val="1"/>
          <w:color w:val="auto"/>
        </w:rPr>
        <w:t>DaFengChe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Chehang 168</w:t>
      </w:r>
      <w:r>
        <w:rPr>
          <w:rFonts w:ascii="Times New Roman" w:cs="Times New Roman" w:eastAsia="Times New Roman" w:hAnsi="Times New Roman"/>
          <w:sz w:val="18"/>
          <w:szCs w:val="18"/>
          <w:color w:val="auto"/>
        </w:rPr>
        <w:t xml:space="preserve"> applications.</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Group recognize revenue from customer engagement solutions and other valued-added services over time if one of the following criteria is met: (i) the customer simultaneously receives and consumes the benefits as the Group performs; (ii) the Group’s performance creates or enhances an asset that the customer controls as the asset is created or enhanced; or (iii) the asset delivered has no alternative use and the Group has an enforceable right to payment for performance completed to date. For performance obligations satisfied over time, the Group recognizes revenue over time by measuring the progress toward complete satisfaction of a performance obligation usually using a time-based measure. Otherwise, revenues are recognized at a point in time when customers obtain control of promised software solutions and the Group satisfies its performance obligation.</w:t>
      </w:r>
    </w:p>
    <w:p>
      <w:pPr>
        <w:spacing w:after="0" w:line="18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Revenues earned from noncancellable subscription services are recognized on a ratable basis over the contractual subscription term as the performance obligation is satisfied. The subscription services are sold in short term periods, typically one year or less, at a fixed price.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(ii)   Transaction services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Group offer a wide range of transaction services to dealers, OEMs and other industry participants to facilitate their vehicle-related transactions. These services include B2B transaction facilitation services, delivery services, used car inspection and certification services, financial products referral services and other services.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375" w:lineRule="auto"/>
        <w:tabs>
          <w:tab w:leader="none" w:pos="30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Revenue recognition (continued)</w:t>
      </w:r>
    </w:p>
    <w:p>
      <w:pPr>
        <w:spacing w:after="0" w:line="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(ii)   Transaction services (continued)</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B2B transaction facilitation services</w:t>
      </w:r>
    </w:p>
    <w:p>
      <w:pPr>
        <w:spacing w:after="0" w:line="11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Group acts as an agent when facilitating a vehicle auction through its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platform and recognized the transaction on a net basis. The Group charges an auction service fees at a fixed percentage of each vehicle’s selling price or a maximum amount upon the successful close of an auction transaction from buyers. Revenue is recognized at a point in time when the vehicle is sold. From time to time, the Group provides promotions and incentives to buyers and sellers of vehicle auction transactions in various forms including discounts on fees and rebates. Promotions and incentives which are consideration payable to a customer are recognized as a reduction of revenue when revenue is recognized.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Delivery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Delivery services primarily include transportation services, warehousing services and title transfer and registration services.</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Group offers transportation services. Revenue from transportation services is recognized over time as customers receive and consume the benefits when the Group performs its services. In providing its transportation services, the Group leverages its network of third-party transportation carriers and arranges for the transportation of the vehicles according to the instructions from the owners of vehicles. The Group is the principal for transportation services and controls the services provided to customers because the Group retains the ability to direct shipping orders to the third-party carriers, is primarily responsible for fulfilling the services and bears risks for any damage incurred during shipping, and has the discretion in setting pricing with the customer. Further, the transportation carriers are obligated to comply with service standards and implementation rule set by the Group when providing the transportation services for the Group. Transportation fees charged to customers are recorded on a gross basis.</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Group also offers warehousing services, which typically include the storage and management of its customers’ vehicle inventory. The Group charges fees based on the number of parking lots or the size of parking spaces occupied by customers at a fixed daily or monthly fee within a specific duration of time. Revenue is recognized over time as the customer receives the benefits of the Group’s warehousing services.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Group also provides vehicle title transfer and registration services to the buyers on its CheYiPai platform and other customers on a standalone basis. Revenue from title transfer and registration services is recognized at a point in time upon completion of related services.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Used car inspection and certification services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Group offers, usually to sellers of vehicles, inspection and certification services and provides vehicle inspection reports. Sellers attach such report for every auction on </w:t>
      </w:r>
      <w:r>
        <w:rPr>
          <w:rFonts w:ascii="Times New Roman" w:cs="Times New Roman" w:eastAsia="Times New Roman" w:hAnsi="Times New Roman"/>
          <w:sz w:val="18"/>
          <w:szCs w:val="18"/>
          <w:i w:val="1"/>
          <w:iCs w:val="1"/>
          <w:color w:val="auto"/>
        </w:rPr>
        <w:t>CheYiPai</w:t>
      </w:r>
      <w:r>
        <w:rPr>
          <w:rFonts w:ascii="Times New Roman" w:cs="Times New Roman" w:eastAsia="Times New Roman" w:hAnsi="Times New Roman"/>
          <w:sz w:val="18"/>
          <w:szCs w:val="18"/>
          <w:color w:val="auto"/>
        </w:rPr>
        <w:t xml:space="preserve"> platform and buyers rely on it to make their transaction decisions. Customers may use inspection report for transactions that do not occur on the Group’s platforms. Related inspection services fees vary depending on the number of items and data points included in the reports. In qualifying situations, the Group provides guarantee or seller protection by paying remedies to buyers related to a buyer’s claim that the vehicle inspection report did not accurately portray the condition of the vehicle purchased and gives sellers/buyers the right to claim damages or even request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375" w:lineRule="auto"/>
        <w:tabs>
          <w:tab w:leader="none" w:pos="30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Revenue recognition (continued)</w:t>
      </w:r>
    </w:p>
    <w:p>
      <w:pPr>
        <w:spacing w:after="0" w:line="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(ii)   Transaction services (continued)</w:t>
      </w:r>
    </w:p>
    <w:p>
      <w:pPr>
        <w:spacing w:after="0" w:line="13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Company to buy back the vehicle. The Group measures the guarantee based on its estimated fair value, which is deducted from the inspection service fee and the remaining service fee for inspection and certification services is recognized at a point in time when the vehicle inspection and report is completed and delivered to the customer. The carrying amount of the guarantee liability was RMB6,337 and RMB7,661 (US$1,057) as of December 31, 2021 and 2022, respectively, and is recorded as “Others” under accrued expenses and other current liabilities (Note 12).</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product referral services</w:t>
      </w:r>
    </w:p>
    <w:p>
      <w:pPr>
        <w:spacing w:after="0" w:line="11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Group provides financial product referral services to financial institutions providing auto loans and insurance products by connecting them with used car dealers and prospective car buyers and collating the buyers’ information to the financial institutions. Each financial institution independently assesses credit risk and loan application and makes lending decisions. The Group does not make any promises to prospective car dealer or buyers nor provide any guarantee of repayments by the borrowers. The Group receives a commission on each auto loan the Group facilitated and approved by the financial institution. Revenue is recognized upon a successful referral at a point in time and related payment is settled on a monthly basis.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Other services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Group provides online marketing campaign services to OEM customers. Revenue from marketing service is recognized at a point in time when tailored content was delivered to the customer and displayed on third-parties’ online platforms.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Group also provides sales services to sellers, who place their vehicles at the Group’s physical showrooms during a fixed period, no longer than 90-days. The Group returns the vehicle if it remains unsold at the end of the period. The Group earns a service fee at a percentage of the selling price of each vehicle sale and recognizes related revenue at a point in time upon the sales of the vehicle.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Group’s contract liabilities were mainly related to prepaid subscription fees for its SaaS subscription services to be provided over the contract period, generally less than one year, and presented as “Contract liabilities and customer advance” on the combined balance sheets. Contract liabilities balances were RMB41,679 and RMB50,748 (US$6,998) as of December 31, 2021 and 2022, respectively. Revenue recognized for the years ended December 31, 2021 and 2022 that was included in contract liabilities at the beginning of the period was RMB49,373 and RMB39,382 (US$5,431), respectively.</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Contract assets mainly represent unbilled amounts related to the Group’s rights to consideration for transportation and warehousing services delivered and are included in “Contract assets” on the combined balance sheets. The Group transfers contract assets to accounts receivable when its right to payment become unconditional. As of December 31, 2021 and 2022, contract assets were RMB19,999 and RMB39,762 (US$5,483), respectively. The increase in contract assets was primarily due to more transportation and warehousing services delivered but unbilled as of December 31, 2022 compared with 2021.</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408" w:lineRule="auto"/>
        <w:tabs>
          <w:tab w:leader="none" w:pos="300" w:val="left"/>
        </w:tabs>
        <w:numPr>
          <w:ilvl w:val="0"/>
          <w:numId w:val="1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(CONTINUED) </w:t>
      </w:r>
      <w:r>
        <w:rPr>
          <w:rFonts w:ascii="Times New Roman" w:cs="Times New Roman" w:eastAsia="Times New Roman" w:hAnsi="Times New Roman"/>
          <w:sz w:val="17"/>
          <w:szCs w:val="17"/>
          <w:b w:val="1"/>
          <w:bCs w:val="1"/>
          <w:i w:val="1"/>
          <w:iCs w:val="1"/>
          <w:color w:val="auto"/>
        </w:rPr>
        <w:t>Contract assets and contract liabilities (continued)</w:t>
      </w:r>
    </w:p>
    <w:p>
      <w:pPr>
        <w:spacing w:after="0" w:line="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on contract assets was RMB625 and RMB784 (US$108) as of December 31, 2021 and 2022, respectively. The amounts charged to expenses for credit losses on contract assets were RMB592 and RMB159 (US$22) for the years ended December 31, 2021 and 2022, respectively. No write-offs were charged against the allowance for the years ended December 31, 2021 and 2022,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employee salaries and benefits, bandwidth costs, customer support, inspection related costs, third-party transportation carrier costs, rental costs, depreciation and amortization, utilities and various other costs directly attributable to the Company’s revenues.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advertising and marketing promotion expenses, salaries and other expenses incurred by the Group’s sales and marketing personnel. Expenses relating to the Group’s online and offline sales channels marketing are charged to sales and marketing expense as incurred and amounted to RMB530 and RMB419 (US$58) for the years ended December 31, 2021 and 2022,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payroll and related personnel costs for the development and related enhancements of the Group’s internal use software for its operation management and mobile applications and mobile websites; (ii) expenses associated with new technology and product development and enhancement; and (iii) rental expense and depreciation of servers.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internal use software, the Group expenses all costs incurred for the preliminary project stage and post implementation-operation stage of development, and costs associated with repair or maintenance of the existing platform. Costs incurred in the application development stage are capitalized and amortized over the estimated useful life. Since the amount of the Group’s research and development expenses qualifying for capitalization has been immaterial, all development costs incurred for internal use software were expensed as incurred.</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external use software, costs incurred for development of external use software have not been capitalized since the inception of the Group, because the period between technical feasibility and when the software is marketed for sale is short, and the amount of costs qualifying for capitalization has been immaterial.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Group accounts for leases in accordance with ASC 842</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(“ASC 842”), which requires lessees to recognize leases on the balance sheet and disclose key information about leasing arrangements. The Group adopted ASC 842 on January 1, 2021, along with all subsequent ASU clarifications and improvements that are applicable to the Group, to each lease that existed in the periods presented in the financial statements, using the modified retrospective transition method and used the commencement date of the leases as the date of initial application. Consequently, financial information and the disclosures required under ASC 842 are provided for dates and periods presented in the combined financial statements.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385" w:lineRule="auto"/>
        <w:tabs>
          <w:tab w:leader="none" w:pos="30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Leases (continued)</w:t>
      </w:r>
    </w:p>
    <w:p>
      <w:pPr>
        <w:spacing w:after="0" w:line="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Group has operating leases primarily for warehouses and office facilities. The determination of whether an arrangement is a lease or contains a lease is made at inception by evaluating whether the arrangement conveys the right to use an identified asset and whether the Group obtains substantially all the economic benefits from and has the ability to direct the use of the asset. The Company has elected to account for operating leases with a term less than twelve months to be expensed as incurred. For leases with terms greater than 12 months, the Group records the related right-of-use assets and lease liabilities at the present value of lease payments over the term. Certain leases include rental escalation clauses, renewal options and/or termination options that are factored into the Group’s determination of lease payments when appropriate. The Group includes renewal options in the lease term if the Group is reasonably certain to exercise those options while options to terminate the lease are only included in the lease term if the Group is reasonably certain not to exercise those options.</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Group is unable to determine the lessor’s implicit rate and uses an incremental borrowing rate based on the estimated rate of interest for collateralized borrowing over a similar term of the lease payments, at the commencement date in determining the present value of lease payments. Lease expenses are recorded on a straight-line basis over the lease term.</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Group recognizes income taxes under the liability method.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 likely than not that a portion or all of the deferred tax assets will not be realized. The effect of a change in tax rate is recognized in tax expense in the period that includes the enactment date of the change in tax rate.</w:t>
      </w:r>
    </w:p>
    <w:p>
      <w:pPr>
        <w:spacing w:after="0" w:line="183"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Group assesses all material positions taken in any income tax return, including all significant uncertain positions, in all tax years that are still subject to assessment or challenge by relevant taxing authorities. The Group recognizes in the combined financial statements the benefit of a tax position which is “more likely than not” to be sustained under examination based solely on the technical merits of the position assuming a review by tax authorities having all relevant information. Tax positions that meet the recognition threshold are measured using a cumulative probability approach, at the largest amount of tax benefit that has a greater than fifty percent likelihood of being realized upon settlement. Interest and penalties arising from underpayment of income taxes shall be computed in accordance with the related tax law and are classified in the combined statements of comprehensive loss as income tax expense.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Group’s Chief Executive Officer (CEO) is identified as the chief operating decision maker (“CODM”). The CEO reviews the financial information presented on a combined basis when make decision about allocating resources and evaluating the Company’s financial performance as a whole. Accordingly, the Company has determined that it operates in a single reporting segment. The Group does not distinguish between markets or segments for the purpose of internal reporting. The Group’s long-lived assets are substantially all located in the PRC and substantially all the Group’s revenues are derived from within the PRC.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All eligible employees of the Group are entitled to staff welfare benefits including medical care, welfare subsidies, unemployment insurance, pension benefits, and employee housing fund through a PRC government-mandated multi-employer defined contribution plan. The Group is required to make contributions to the plan and accrue for these benefits based on certain percentages of the qualified employees’ salaries. The Group recorded employee benefit expenses of RMB8,234 and RMB9,446 (US$1,303) for the years ended December 31, 2021 and 2022,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guidance replaced the incurred loss impairment methodology with an expected credit loss model for which an entity recognizes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based on the estimate of expected credit losses. For public companies, the amendments were effective for annual periods beginning after December 15, 2019, including interim periods within those fiscal year. Early adoption is permitted. For all other entities, the amendments were effective for fiscal years beginning after December 15, 2020, and interim periods within fiscal years beginning after December 15, 2021. The Group early adopted this guidance on January 1, 2021, and the adoption did not have a material impact on its combined financial statements.</w:t>
      </w:r>
    </w:p>
    <w:p>
      <w:pPr>
        <w:spacing w:after="0" w:line="18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which was effective for all entities for fiscal years, and interim periods within those fiscal years,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from the date of issuance. The Group elected to early adopt this guidance on January 1, 2021, and the adoption did not have a material impact on its combined financial statements.</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which simplified an issuer’s accounting for convertible instruments by eliminating the cash conversion and beneficial conversion feature models under ASC 470-20 that previously required an entity to bifurcate and separately account for a conversion feature unless that feature met the definition of a derivative under ASC 815-15 or would fall under the “substantial premium” model under ASC 470-20. For public companies, the amendments were effective in annual period beginning after December 15, 2021. For all other entities the amendments were effective in annual periods beginning after December 15, 2023. Early adoption is permitted but no earlier than fiscal years beginning after December 15, 2020, including interim periods within those fiscal years. The Group elected to early adopt this guidance on January 1, 2021 and the adoption did not have a material impact on its combined financial statements.</w:t>
      </w:r>
    </w:p>
    <w:p>
      <w:pPr>
        <w:spacing w:after="0" w:line="188"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the amendments require acquiring entities to apply ASC 606 to recognize and measure contract assets and contract liabilities in a business combination. The amendments apply to all entities that enter into a business combination within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407" w:lineRule="auto"/>
        <w:tabs>
          <w:tab w:leader="none" w:pos="300"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(CONTINUED) </w:t>
      </w:r>
      <w:r>
        <w:rPr>
          <w:rFonts w:ascii="Times New Roman" w:cs="Times New Roman" w:eastAsia="Times New Roman" w:hAnsi="Times New Roman"/>
          <w:sz w:val="17"/>
          <w:szCs w:val="17"/>
          <w:b w:val="1"/>
          <w:bCs w:val="1"/>
          <w:i w:val="1"/>
          <w:iCs w:val="1"/>
          <w:color w:val="auto"/>
        </w:rPr>
        <w:t>Recent accounting pronouncements (continued)</w:t>
      </w:r>
    </w:p>
    <w:p>
      <w:pPr>
        <w:jc w:val="both"/>
        <w:ind w:left="120"/>
        <w:spacing w:after="0" w:line="267" w:lineRule="auto"/>
        <w:rPr>
          <w:sz w:val="20"/>
          <w:szCs w:val="20"/>
          <w:color w:val="auto"/>
        </w:rPr>
      </w:pPr>
      <w:r>
        <w:rPr>
          <w:rFonts w:ascii="Times New Roman" w:cs="Times New Roman" w:eastAsia="Times New Roman" w:hAnsi="Times New Roman"/>
          <w:sz w:val="18"/>
          <w:szCs w:val="18"/>
          <w:color w:val="auto"/>
        </w:rPr>
        <w:t xml:space="preserve">scope of ASC 805-10, </w:t>
      </w:r>
      <w:r>
        <w:rPr>
          <w:rFonts w:ascii="Times New Roman" w:cs="Times New Roman" w:eastAsia="Times New Roman" w:hAnsi="Times New Roman"/>
          <w:sz w:val="18"/>
          <w:szCs w:val="18"/>
          <w:i w:val="1"/>
          <w:iCs w:val="1"/>
          <w:color w:val="auto"/>
        </w:rPr>
        <w:t>Business Combinations—Overall</w:t>
      </w:r>
      <w:r>
        <w:rPr>
          <w:rFonts w:ascii="Times New Roman" w:cs="Times New Roman" w:eastAsia="Times New Roman" w:hAnsi="Times New Roman"/>
          <w:sz w:val="18"/>
          <w:szCs w:val="18"/>
          <w:color w:val="auto"/>
        </w:rPr>
        <w:t>. The amendments are effective for fiscal years beginning after December 15, 2023, including interim periods within those fiscal years and it should be applied prospectively to business combinations occurring on or after the effective date of the amendments. The Group is in the process of evaluating the impact adopting this new standard will have on its combined financial statements.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CONCENTRATION OF RISKS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significant concentration of credit risk consist primarily of cash and cash equivalents, restricted cash, accounts receivable and contract assets. As of December 31, 2021, and 2022, RMB115,070 and RMB168,152 (US$23,189), respectively, of the Group’s cash and cash equivalents and restricted cash were primarily deposited in financial institutions located in the PRC, which management believes are of high credit quality.</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Accounts receivable and contract assets are typically unsecured and derived from revenue earned from customers in China, which are exposed to credit risk. The Group mitigates customer credit risk by performing periodic credit evaluations on its customers and ongoing monitoring outstanding balances. The Group maintains reserves for estimated credit losses and these losses have generally been within its expectations. The Company had two customers with a receivable balance exceeding 10% of the total accounts receivable balances as of December 31, 2021 and 2022. No customers generated greater than 10% of total revenues for the years ended December 31, 2021 and 2022.</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Amounts due from related parties are typically unsecured. In evaluating the collectability of the amounts due from related parties, the Group considers many factors, including the related parties’ repayment history and their credit-worthiness. An allowance for credit losses is made when collection of the full amount is no longer probable.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Currency convertibility risk</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Substantially all of the Group’s operating activities are transacted in RMB, which is not freely convertible into foreign currencies. All foreign exchange transactions continue to take place either through the People’s Bank of China (“PBOC”) or other banks authorized to buy and sell foreign currencies at the exchange rates quoted by the PBOC. Approval for foreign currency payments by the PBOC or other institutions requires submitting a payment application form together with suppliers’ invoices, shipping documents and signed contracts.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July 21, 2005, the RMB is permitted to fluctuate within a narrow band against a basket of certain foreign currencies. There was appreciation of the US$ against RMB of approximately -2.34% and 8.46% during the years ended December 31, 2021 and 2022, respectively. Any significant revaluation of RMB may materially and adversely affect the Group’s cash flows, revenues, earnings and financial position. As of December 31, 2021 and 2022, the Group had US$ denominated cash and cash equivalents and restricted cash of US$115 and US$3,510,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55" w:right="4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Accounts receivable and expected credit losses as of December 31, 2021 and 2022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980" w:type="dxa"/>
            <w:vAlign w:val="bottom"/>
            <w:gridSpan w:val="2"/>
          </w:tcPr>
          <w:p>
            <w:pPr>
              <w:jc w:val="center"/>
              <w:ind w:lef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60" w:type="dxa"/>
            <w:vAlign w:val="bottom"/>
            <w:tcBorders>
              <w:top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Pr>
          <w:p>
            <w:pPr>
              <w:spacing w:after="0"/>
              <w:rPr>
                <w:sz w:val="12"/>
                <w:szCs w:val="12"/>
                <w:color w:val="auto"/>
              </w:rPr>
            </w:pPr>
          </w:p>
        </w:tc>
        <w:tc>
          <w:tcPr>
            <w:tcW w:w="58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120,230</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(8,884)</w:t>
            </w: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(14,861)</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(2,049)</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105,369</w:t>
            </w:r>
          </w:p>
        </w:tc>
        <w:tc>
          <w:tcPr>
            <w:tcW w:w="3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roll-forward of the allowance for credit losses related to accounts receivable for the years ended December 31, 2021and 2022 consists of the following activity: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lef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1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76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8,884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14,861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67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00" w:type="dxa"/>
            <w:vAlign w:val="bottom"/>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lef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receivables in the auction service</w:t>
            </w:r>
            <w:r>
              <w:rPr>
                <w:rFonts w:ascii="Times New Roman" w:cs="Times New Roman" w:eastAsia="Times New Roman" w:hAnsi="Times New Roman"/>
                <w:sz w:val="25"/>
                <w:szCs w:val="25"/>
                <w:color w:val="auto"/>
                <w:vertAlign w:val="superscript"/>
              </w:rPr>
              <w:t>(i)</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Deductible VAT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78,515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98,082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13,526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line="282"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primarily represent receivables from sellers of vehicles when auction transactions were cancelled, whereby the Group first returns the gross selling price to the buyers on behalf of the original sellers.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roll-forward of the allowance for credit losses for the years ended December 31, 2021 and 2022 consists of the following activity:</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740" w:type="dxa"/>
            <w:vAlign w:val="bottom"/>
            <w:tcBorders>
              <w:bottom w:val="single" w:sz="8" w:color="auto"/>
            </w:tcBorders>
            <w:gridSpan w:val="4"/>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Pr>
          <w:p>
            <w:pPr>
              <w:spacing w:after="0"/>
              <w:rPr>
                <w:sz w:val="12"/>
                <w:szCs w:val="12"/>
                <w:color w:val="auto"/>
              </w:rPr>
            </w:pPr>
          </w:p>
        </w:tc>
        <w:tc>
          <w:tcPr>
            <w:tcW w:w="4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4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40" w:type="dxa"/>
            <w:vAlign w:val="bottom"/>
          </w:tcPr>
          <w:p>
            <w:pPr>
              <w:spacing w:after="0"/>
              <w:rPr>
                <w:sz w:val="12"/>
                <w:szCs w:val="12"/>
                <w:color w:val="auto"/>
              </w:rPr>
            </w:pPr>
          </w:p>
        </w:tc>
        <w:tc>
          <w:tcPr>
            <w:tcW w:w="4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5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9,542</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12,572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1,734</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3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3,030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5,135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w:t>
            </w:r>
          </w:p>
        </w:tc>
        <w:tc>
          <w:tcPr>
            <w:tcW w:w="2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26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12,572</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15,207</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12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3520" w:type="dxa"/>
            <w:vAlign w:val="bottom"/>
            <w:gridSpan w:val="3"/>
          </w:tcPr>
          <w:p>
            <w:pPr>
              <w:jc w:val="right"/>
              <w:ind w:right="2480"/>
              <w:spacing w:after="0"/>
              <w:rPr>
                <w:sz w:val="20"/>
                <w:szCs w:val="20"/>
                <w:color w:val="auto"/>
              </w:rPr>
            </w:pPr>
            <w:r>
              <w:rPr>
                <w:rFonts w:ascii="Times New Roman" w:cs="Times New Roman" w:eastAsia="Times New Roman" w:hAnsi="Times New Roman"/>
                <w:sz w:val="18"/>
                <w:szCs w:val="18"/>
                <w:color w:val="auto"/>
              </w:rPr>
              <w:t>F-30</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Group’s combined financial statements include costs and expenses allocated from the Predecessor for periods prior to the Restructuring, amounted to RMB4,661 and RMB14,905 for the years ended December 31, 2021 and 2022, respectively. See Note 1(b) for more detailed information. In addition, most of the historical financing conducted before the Restructuring and the proceeds from the historical financing transactions were held by the Predecessor, which then funded the Group’s operations through interest-free loans to the Company and its operating entities. The Predecessor waived such debts amounting of RMB780,363 and RMB501,358 (US$69,140) in the years ended December 31, 2021 and 2022, respectively, which is presented as non-cash financing activities in the Group’s combined statements of cash flows.</w:t>
      </w:r>
    </w:p>
    <w:p>
      <w:pPr>
        <w:spacing w:after="0" w:line="93" w:lineRule="exact"/>
        <w:rPr>
          <w:sz w:val="20"/>
          <w:szCs w:val="20"/>
          <w:color w:val="auto"/>
        </w:rPr>
      </w:pPr>
    </w:p>
    <w:p>
      <w:pPr>
        <w:ind w:left="1080" w:hanging="358"/>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the major related parties and their relationships with the Group:</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the related parties</w:t>
            </w: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r>
      <w:tr>
        <w:trPr>
          <w:trHeight w:val="185"/>
        </w:trPr>
        <w:tc>
          <w:tcPr>
            <w:tcW w:w="16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Predecessor</w:t>
            </w:r>
          </w:p>
        </w:tc>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Souche Holdings Ltd. or entities controlled by Souche Holdings</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Guotai Dasouche (Tianjin) Financial Leasing Co., Ltd. (“Guotai Dasouche”)</w:t>
            </w: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method investee of the Predecessor</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Alipay. com Co., Ltd. (“Alipay”)</w:t>
            </w: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Affiliate of a Group’s principal shareholder</w:t>
            </w: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Changji Technology Co., Ltd. (“Guangzhou Changji”)</w:t>
            </w: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method investee</w:t>
            </w:r>
          </w:p>
        </w:tc>
      </w:tr>
    </w:tbl>
    <w:p>
      <w:pPr>
        <w:spacing w:after="0" w:line="225" w:lineRule="exact"/>
        <w:rPr>
          <w:sz w:val="20"/>
          <w:szCs w:val="20"/>
          <w:color w:val="auto"/>
        </w:rPr>
      </w:pPr>
    </w:p>
    <w:p>
      <w:pPr>
        <w:ind w:left="1080" w:hanging="358"/>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the following transactions with the major related parties:</w:t>
      </w:r>
    </w:p>
    <w:p>
      <w:pPr>
        <w:spacing w:after="0" w:line="23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64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 services provided to:</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Guotai Dasouche</w:t>
            </w:r>
          </w:p>
        </w:tc>
        <w:tc>
          <w:tcPr>
            <w:tcW w:w="7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29,197</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Predecessor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64,806</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13,007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16"/>
        </w:trPr>
        <w:tc>
          <w:tcPr>
            <w:tcW w:w="5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Guangzhou Changji </w:t>
            </w:r>
            <w:r>
              <w:rPr>
                <w:rFonts w:ascii="Times New Roman" w:cs="Times New Roman" w:eastAsia="Times New Roman" w:hAnsi="Times New Roman"/>
                <w:sz w:val="25"/>
                <w:szCs w:val="25"/>
                <w:color w:val="auto"/>
                <w:vertAlign w:val="superscript"/>
              </w:rPr>
              <w:t>(i)</w:t>
            </w:r>
          </w:p>
        </w:tc>
        <w:tc>
          <w:tcPr>
            <w:tcW w:w="7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(3,047)</w:t>
            </w: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(3,552)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38,652</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5,330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Services received from:</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Guotai Dasouche</w:t>
            </w:r>
          </w:p>
        </w:tc>
        <w:tc>
          <w:tcPr>
            <w:tcW w:w="7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Predecessor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12,244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13,184</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1,819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Contribution from Predecessor through waiver of debt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780,363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501,358</w:t>
            </w:r>
          </w:p>
        </w:tc>
        <w:tc>
          <w:tcPr>
            <w:tcW w:w="3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60" w:right="3640" w:hanging="5344"/>
        <w:spacing w:after="0" w:line="454" w:lineRule="auto"/>
        <w:tabs>
          <w:tab w:leader="none" w:pos="55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negative revenue resulting from excess rebates paid over revenue earned. F-31</w:t>
      </w:r>
    </w:p>
    <w:p>
      <w:pPr>
        <w:sectPr>
          <w:pgSz w:w="11900" w:h="16838" w:orient="portrait"/>
          <w:cols w:equalWidth="0" w:num="1">
            <w:col w:w="11140"/>
          </w:cols>
          <w:pgMar w:left="320" w:top="455"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(CONTINUED)</w:t>
      </w:r>
    </w:p>
    <w:p>
      <w:pPr>
        <w:spacing w:after="0" w:line="134" w:lineRule="exact"/>
        <w:rPr>
          <w:rFonts w:ascii="Times New Roman" w:cs="Times New Roman" w:eastAsia="Times New Roman" w:hAnsi="Times New Roman"/>
          <w:sz w:val="18"/>
          <w:szCs w:val="18"/>
          <w:b w:val="1"/>
          <w:bCs w:val="1"/>
          <w:color w:val="auto"/>
        </w:rPr>
      </w:pPr>
    </w:p>
    <w:p>
      <w:pPr>
        <w:ind w:left="1080" w:hanging="358"/>
        <w:spacing w:after="0"/>
        <w:tabs>
          <w:tab w:leader="none" w:pos="10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the following related party balances with the major related parties: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2"/>
          </w:tcPr>
          <w:p>
            <w:pPr>
              <w:jc w:val="center"/>
              <w:ind w:lef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0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current:</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Predecessor</w:t>
            </w:r>
            <w:r>
              <w:rPr>
                <w:rFonts w:ascii="Times New Roman" w:cs="Times New Roman" w:eastAsia="Times New Roman" w:hAnsi="Times New Roman"/>
                <w:sz w:val="25"/>
                <w:szCs w:val="25"/>
                <w:color w:val="auto"/>
                <w:vertAlign w:val="superscript"/>
              </w:rPr>
              <w:t>(i)</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75,288</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Guotai Dasouche</w:t>
            </w:r>
            <w:r>
              <w:rPr>
                <w:rFonts w:ascii="Times New Roman" w:cs="Times New Roman" w:eastAsia="Times New Roman" w:hAnsi="Times New Roman"/>
                <w:sz w:val="25"/>
                <w:szCs w:val="25"/>
                <w:color w:val="auto"/>
                <w:vertAlign w:val="superscript"/>
              </w:rPr>
              <w:t>(ii)</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Alipay</w:t>
            </w:r>
            <w:r>
              <w:rPr>
                <w:rFonts w:ascii="Times New Roman" w:cs="Times New Roman" w:eastAsia="Times New Roman" w:hAnsi="Times New Roman"/>
                <w:sz w:val="25"/>
                <w:szCs w:val="25"/>
                <w:color w:val="auto"/>
                <w:vertAlign w:val="superscript"/>
              </w:rPr>
              <w:t>(iii)</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56,940</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92,663</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12,779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non-current:</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Predecessor</w:t>
            </w:r>
            <w:r>
              <w:rPr>
                <w:rFonts w:ascii="Times New Roman" w:cs="Times New Roman" w:eastAsia="Times New Roman" w:hAnsi="Times New Roman"/>
                <w:sz w:val="25"/>
                <w:szCs w:val="25"/>
                <w:color w:val="auto"/>
                <w:vertAlign w:val="superscript"/>
              </w:rPr>
              <w:t>(iv)</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67,102</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46,968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67,102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line="261" w:lineRule="auto"/>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mainly represent amounts due from the Predecessor for transaction services, such as delivery services, used car inspection and certification services and other management and administrative support services.</w:t>
      </w:r>
    </w:p>
    <w:p>
      <w:pPr>
        <w:ind w:left="540" w:hanging="424"/>
        <w:spacing w:after="0"/>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mainly represent amounts due from Guotai Dasouche for financial product referral services provided.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mainly represent amounts due from the online payment platform operated by Alipay.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 amounts arising from non-trade interest-free loans lent to the Predecessor.</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4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7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current: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Predecessor</w:t>
            </w:r>
            <w:r>
              <w:rPr>
                <w:rFonts w:ascii="Times New Roman" w:cs="Times New Roman" w:eastAsia="Times New Roman" w:hAnsi="Times New Roman"/>
                <w:sz w:val="25"/>
                <w:szCs w:val="25"/>
                <w:color w:val="auto"/>
                <w:vertAlign w:val="superscript"/>
              </w:rPr>
              <w:t>(i)</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Guotai Dasouche</w:t>
            </w:r>
            <w:r>
              <w:rPr>
                <w:rFonts w:ascii="Times New Roman" w:cs="Times New Roman" w:eastAsia="Times New Roman" w:hAnsi="Times New Roman"/>
                <w:sz w:val="25"/>
                <w:szCs w:val="25"/>
                <w:color w:val="auto"/>
                <w:vertAlign w:val="superscript"/>
              </w:rPr>
              <w:t>(ii)</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353,827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36,132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Amounts due to related parties, non-current: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Predecessor</w:t>
            </w:r>
            <w:r>
              <w:rPr>
                <w:rFonts w:ascii="Times New Roman" w:cs="Times New Roman" w:eastAsia="Times New Roman" w:hAnsi="Times New Roman"/>
                <w:sz w:val="25"/>
                <w:szCs w:val="25"/>
                <w:color w:val="auto"/>
                <w:vertAlign w:val="superscript"/>
              </w:rPr>
              <w:t>(i)</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225,576</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6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225,576</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 amounts arising from non-trade interest-free loans provided by the Predecessor.</w:t>
      </w:r>
    </w:p>
    <w:p>
      <w:pPr>
        <w:spacing w:after="0" w:line="27"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 amounts arising from non-trade loans due to Guotai Dasouche at 8% interest rate with an original term of 12 months. The Group pledged its equity interests in certain operating subsidiaries to Guotai Dasouche in connection with the foregoing loans.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FIXED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Fixed assets consist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9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2"/>
                <w:szCs w:val="12"/>
                <w:color w:val="auto"/>
              </w:rPr>
            </w:pPr>
          </w:p>
        </w:tc>
        <w:tc>
          <w:tcPr>
            <w:tcW w:w="56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2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Pr>
          <w:p>
            <w:pPr>
              <w:spacing w:after="0"/>
              <w:rPr>
                <w:sz w:val="12"/>
                <w:szCs w:val="12"/>
                <w:color w:val="auto"/>
              </w:rPr>
            </w:pPr>
          </w:p>
        </w:tc>
        <w:tc>
          <w:tcPr>
            <w:tcW w:w="5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electronic equipment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3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1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(34,979)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(4,824)</w:t>
            </w: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16,822</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expenses for the years ended December 31, 2021 and 2022 were RMB5,637 and RMB6,778 (US$935),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78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78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70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46,207</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46,207</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4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222,300</w:t>
            </w: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222,300</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30,656</w:t>
            </w:r>
          </w:p>
        </w:tc>
        <w:tc>
          <w:tcPr>
            <w:tcW w:w="140" w:type="dxa"/>
            <w:vAlign w:val="bottom"/>
            <w:shd w:val="clear" w:color="auto" w:fill="CCEEFF"/>
          </w:tcPr>
          <w:p>
            <w:pPr>
              <w:spacing w:after="0"/>
              <w:rPr>
                <w:sz w:val="18"/>
                <w:szCs w:val="18"/>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(114,281)</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(143,758)</w:t>
            </w:r>
          </w:p>
        </w:tc>
        <w:tc>
          <w:tcPr>
            <w:tcW w:w="3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(19,825)</w:t>
            </w:r>
          </w:p>
        </w:tc>
        <w:tc>
          <w:tcPr>
            <w:tcW w:w="14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159,626</w:t>
            </w: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130,149</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17,948</w:t>
            </w:r>
          </w:p>
        </w:tc>
        <w:tc>
          <w:tcPr>
            <w:tcW w:w="14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expenses for the years ended December 31, 2021 and 2022 were RMB33,255 and RMB29,477 (US$4,065), respectively. No impairment charge was recognized for the years ended December 31, 2021 and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amortization expenses relating to intangible assets for each of the next five years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860" w:type="dxa"/>
            <w:vAlign w:val="bottom"/>
          </w:tcPr>
          <w:p>
            <w:pPr>
              <w:spacing w:after="0"/>
              <w:rPr>
                <w:sz w:val="16"/>
                <w:szCs w:val="16"/>
                <w:color w:val="auto"/>
              </w:rPr>
            </w:pPr>
          </w:p>
        </w:tc>
        <w:tc>
          <w:tcPr>
            <w:tcW w:w="7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58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27,130</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3,741</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8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8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80" w:type="dxa"/>
            <w:vAlign w:val="bottom"/>
            <w:shd w:val="clear" w:color="auto" w:fill="CCEEFF"/>
          </w:tcPr>
          <w:p>
            <w:pPr>
              <w:spacing w:after="0"/>
              <w:rPr>
                <w:sz w:val="18"/>
                <w:szCs w:val="18"/>
                <w:color w:val="auto"/>
              </w:rPr>
            </w:pPr>
          </w:p>
        </w:tc>
      </w:tr>
      <w:tr>
        <w:trPr>
          <w:trHeight w:val="223"/>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115,216</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15,888</w:t>
            </w: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6600" w:type="dxa"/>
            <w:vAlign w:val="bottom"/>
            <w:gridSpan w:val="2"/>
          </w:tcPr>
          <w:p>
            <w:pPr>
              <w:jc w:val="right"/>
              <w:ind w:right="3336"/>
              <w:spacing w:after="0"/>
              <w:rPr>
                <w:sz w:val="20"/>
                <w:szCs w:val="20"/>
                <w:color w:val="auto"/>
              </w:rPr>
            </w:pPr>
            <w:r>
              <w:rPr>
                <w:rFonts w:ascii="Times New Roman" w:cs="Times New Roman" w:eastAsia="Times New Roman" w:hAnsi="Times New Roman"/>
                <w:sz w:val="18"/>
                <w:szCs w:val="18"/>
                <w:color w:val="auto"/>
              </w:rPr>
              <w:t>F-33</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LONG-TERM INVESTMENTS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Group’s long-term investments consist of the following:</w:t>
      </w:r>
    </w:p>
    <w:p>
      <w:pPr>
        <w:spacing w:after="0" w:line="24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7620</wp:posOffset>
            </wp:positionV>
            <wp:extent cx="13716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jc w:val="both"/>
        <w:ind w:left="7680"/>
        <w:spacing w:after="0"/>
        <w:tabs>
          <w:tab w:leader="none" w:pos="8500" w:val="left"/>
          <w:tab w:leader="none" w:pos="930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-3175</wp:posOffset>
            </wp:positionV>
            <wp:extent cx="13716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jc w:val="both"/>
        <w:ind w:left="7640"/>
        <w:spacing w:after="0" w:line="232" w:lineRule="auto"/>
        <w:tabs>
          <w:tab w:leader="none" w:pos="8480" w:val="left"/>
          <w:tab w:leader="none" w:pos="932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US$</w:t>
      </w:r>
    </w:p>
    <w:p>
      <w:pPr>
        <w:spacing w:after="0" w:line="10"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Equity-method investments</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9,381</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12,454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1,717</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using the measurement alternative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7,513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1,037</w:t>
            </w:r>
          </w:p>
        </w:tc>
      </w:tr>
      <w:tr>
        <w:trPr>
          <w:trHeight w:val="27"/>
        </w:trPr>
        <w:tc>
          <w:tcPr>
            <w:tcW w:w="6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19,967</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2,754</w:t>
            </w:r>
          </w:p>
        </w:tc>
      </w:tr>
      <w:tr>
        <w:trPr>
          <w:trHeight w:val="20"/>
        </w:trPr>
        <w:tc>
          <w:tcPr>
            <w:tcW w:w="6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Group’s equity method investments primarily consist of its investment in Guangzhou Changji with equity interests of 51%. Pursuant to the memorandum of association and the articles of Guangzhou Changji, all shareholders must agree on all major decisions. Hence, the Group does not have control over Guangzhou Changji.</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May 2021, the Group acquired 10% equity interest in Chengyi (Guangzhou) Technology Development Co., Ltd. for a cash consideration of RMB7,500. The investment is accounted for as an equity investment without readily determinable fair value as the shares are not in-substance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2021 and 2022, no impairment losses were recognized for long-term investments.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Group’s operating leases mainly related to warehouses and offices facilities. The Group has no finance leases as of December 31, 2021 and 2022. As of December 31, 2021, the weighted average remaining lease term was 2.8 years and weighted average discount rate was 6.6% for the Group’s operating leases. As of December 31, 2022, the weighted average remaining lease term was 7.3 years and weighted average discount rate was 7.1% for the Group’s operating leases.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Operating lease expenses were RMB38,351 and RMB48,859 (US$6,738) for the years ended December 31, 2021 and 2022, respectively, which excluded short-term lease expenses. Short-term lease expenses were RMB24,921 and RMB29,605 (US$4,083) for the years ended December 31, 2021 and 2022, respectively. For the years ended December 31, 2021 and 2022, no lease expenses for operating leases were capitalized.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46"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67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60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80" w:type="dxa"/>
            <w:vAlign w:val="bottom"/>
            <w:shd w:val="clear" w:color="auto" w:fill="CCEEFF"/>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84,612</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80" w:type="dxa"/>
            <w:vAlign w:val="bottom"/>
          </w:tcPr>
          <w:p>
            <w:pPr>
              <w:spacing w:after="0"/>
              <w:rPr>
                <w:sz w:val="20"/>
                <w:szCs w:val="20"/>
                <w:color w:val="auto"/>
              </w:rPr>
            </w:pPr>
          </w:p>
        </w:tc>
      </w:tr>
      <w:tr>
        <w:trPr>
          <w:trHeight w:val="346"/>
        </w:trPr>
        <w:tc>
          <w:tcPr>
            <w:tcW w:w="67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F-34</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 (CONTINUED)</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lease payments under lease liabilities as of December 31, 2022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7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42"/>
        </w:trPr>
        <w:tc>
          <w:tcPr>
            <w:tcW w:w="6600" w:type="dxa"/>
            <w:vAlign w:val="bottom"/>
          </w:tcPr>
          <w:p>
            <w:pPr>
              <w:spacing w:after="0"/>
              <w:rPr>
                <w:sz w:val="12"/>
                <w:szCs w:val="12"/>
                <w:color w:val="auto"/>
              </w:rPr>
            </w:pPr>
          </w:p>
        </w:tc>
        <w:tc>
          <w:tcPr>
            <w:tcW w:w="1040" w:type="dxa"/>
            <w:vAlign w:val="bottom"/>
            <w:tcBorders>
              <w:top w:val="single" w:sz="8" w:color="auto"/>
            </w:tcBorders>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24,756</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3,414</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19,710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13,013</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1,795</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13,213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10,940</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1,509</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46,637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6,431</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future lease payments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128,269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17,689</w:t>
            </w:r>
          </w:p>
        </w:tc>
        <w:tc>
          <w:tcPr>
            <w:tcW w:w="6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4,138</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liability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98,265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13,551</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additional operating leases that have not yet commenced were immaterial.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SHORT-TERM LOANS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Short-term loans as of December 31, 2021 and 2022 amounted to nil and RMB70,000 (US$9,653), respectively, which primarily consisted of borrowings from financial institutions in the PRC that are repayable within one year. The loan carried interest at 5% per annum and is guaranteed by a subsidiary of the Predecessor.</w:t>
      </w:r>
    </w:p>
    <w:p>
      <w:pPr>
        <w:spacing w:after="0" w:line="280" w:lineRule="exact"/>
        <w:rPr>
          <w:sz w:val="20"/>
          <w:szCs w:val="20"/>
          <w:color w:val="auto"/>
        </w:rPr>
      </w:pPr>
    </w:p>
    <w:p>
      <w:pPr>
        <w:ind w:left="560" w:right="5660" w:hanging="444"/>
        <w:spacing w:after="0" w:line="450" w:lineRule="auto"/>
        <w:tabs>
          <w:tab w:leader="none" w:pos="389" w:val="left"/>
        </w:tabs>
        <w:numPr>
          <w:ilvl w:val="0"/>
          <w:numId w:val="1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liabilities consist of the following:</w:t>
      </w:r>
    </w:p>
    <w:p>
      <w:pPr>
        <w:spacing w:after="0" w:line="48"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66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66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Merchants deposits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52,058</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58,573</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8,078</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in the auction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24,332</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25,228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3,479</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welfare payables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33,488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4,618</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23,114</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25,283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3,487</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14,685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29,434</w:t>
            </w:r>
          </w:p>
        </w:tc>
        <w:tc>
          <w:tcPr>
            <w:tcW w:w="3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38,475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5,307</w:t>
            </w:r>
          </w:p>
        </w:tc>
      </w:tr>
      <w:tr>
        <w:trPr>
          <w:trHeight w:val="27"/>
        </w:trPr>
        <w:tc>
          <w:tcPr>
            <w:tcW w:w="5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176,684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195,732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26,994</w:t>
            </w:r>
          </w:p>
        </w:tc>
      </w:tr>
      <w:tr>
        <w:trPr>
          <w:trHeight w:val="20"/>
        </w:trPr>
        <w:tc>
          <w:tcPr>
            <w:tcW w:w="5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20" w:hanging="424"/>
        <w:spacing w:after="0" w:line="282" w:lineRule="auto"/>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payables represent the sales price of the vehicles for completed auction transactions collected by the Group on behalf of the sellers, which will be subsequently settled with the sellers or the payments that need to be refunded to the buyers for cancelled auction transactions.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REDEEMABLE CONVERTIBLE PREFERRED SHARES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the Restructuring (Note 1(b)), the Company issued in aggregate 783,438,378 Series A-1, A-2, B, D, D-1, E-1, E-2, E-3, and F redeemable convertible preferred shares at par value (collectively the “Preferred Shares”) to the same group of investors of the Predecessor in the form of the same series of preferred shares such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REDEEMABLE CONVERTIBLE PREFERRED SHARES (CONTINUED)</w:t>
      </w:r>
    </w:p>
    <w:p>
      <w:pPr>
        <w:spacing w:after="0" w:line="13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that each sharheolders’ rights and equity interest in the Company was identical to their rights and equity interest in the Predecessor. The Restructuring was accounted for as a transaction under common ownership, and therefore the Preferred Shares are recorded at fair value on the date that the Restructuring was completed, which is determined with the assistance from an independent third-party valuation firm, and presented on a retrospective basis.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terms of the Preferred Shares of the Company are summarized as follows: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Conversion Rights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holder of Preferred Shares has the right, at their sole discretion, to convert all or any portion of the Preferred Shares into ordinary shares as determined by the applicable conversion price for each series of the Preferred Shares. The initial conversion price for each Preferred Share series was equal to their respective issue price.</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Preferred Shares will automatically be converted into ordinary shares at the then applicable conversion price upon the closing of a qualified initial public offering defined as a public offering of shares or other equity securities on the New York Stock Exchange, NASDAQ, the Stock Exchange of Hong Kong or other recognized securities exchanges at pre-offering valuation and gross proceeds as approved by a super majority of the Board of Directors. The initial conversion ratio for the Preferred Shares to ordinary shares shall be one-for-one basis and subject to adjustments in the event of share splits, combinations, share dividends and distribution, other dividends, capital reorganization, mergers, consolidations, reclassification, exchanges, substitutions of the ordinary shares and certain dilutive issuances.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Redemption Rights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Series A-1 and A-2 preferred shareholders have the option to redeem the preferred shares on October 24, 2023. For all other series, the preferred shareholders may redeem the preferred shares (i) at any time after October 24, 2023 or the occurence of any redemption event defined as any material adverse change in the regulatory environment that will invalidate any of the Group’s VIE arrangements, any material breach of each series’ shareholder agreement by the Company, founders or any shareholder. The redemption amount for each preferred shareholder is calculated as an amount that is the greater of: (i) the fair market value of the Preferred Shares determined by an independent appraisal; or (ii) the sum of the investment price plus an amount accruing daily at 12% per annum and all declared but unpaid dividends.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Liquidation preference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either voluntary or involuntary, or any deemed liquidation event as defined in the Company’s Memorandum of Association and Shareholders’ Agreement, the available assets of the Company will be distributed to each preferred and ordinary shareholder as follows: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holder of the Series F preferred shares is entitled to receive an amount equal to 120% of the Series F issue price plus all declared but unpaid dividends prior and in preference to any distribution to any other preferred shareholders and the ordinary shareholders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40" w:hanging="444"/>
        <w:spacing w:after="0" w:line="385" w:lineRule="auto"/>
        <w:tabs>
          <w:tab w:leader="none" w:pos="389"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b w:val="1"/>
          <w:bCs w:val="1"/>
          <w:i w:val="1"/>
          <w:iCs w:val="1"/>
          <w:u w:val="single" w:color="auto"/>
          <w:color w:val="auto"/>
        </w:rPr>
        <w:t>Liquidation preference (continued)</w:t>
      </w:r>
    </w:p>
    <w:p>
      <w:pPr>
        <w:spacing w:after="0" w:line="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After all payments to the Series F preferred shareholders, each holder of the Series E-3 preferred shares is entitled to receive an amount equal to 120% the Series E-3 issue price plus all declared but unpaid dividends prior and in preference to any distribution to holders of Series E-2 preferred shares, Series E-1 preferred shares, Series D-1 preferred shares, Series D preferred shares, Series B preferred shares, Series A-2 preferred shares, Series A-1 preferred shares and the Company’s ordinary shareholders.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all payments to the Series E-3 preferred shareholders, each holder of the Series E-2 and E-1 preferred shares is entitled to receive an amount equal to 120% of the Series E-2 and Series E-1 issue price plus all declared but unpaid dividends prior and in preference to any distribution to holders of Series D-1 preferred shares, Series D preferred shares, Series B preferred shares, Series A-2 preferred shares, Series A-1 preferred shares and the Company’s ordinary shareholders.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After all payments to the Series E-2 and Series E-1 preferred shareholders, each holder of the Series D-1 preferred shares is entitled to receive an amount equal to 120% of the Series D-1 issue price plus all declared but unpaid dividends prior and in preference to any distribution to holders of Series D preferred shares, Series B preferred shares, Series A-2 preferred shares, Series A-1 preferred shares and the Company’s ordinary shareholders.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After all payments to the Series D-1 preferred shareholders, each holder of the Series D preferred shares is entitled to receive an amount equal to 120% of the Series D issue price plus all declared but unpaid dividends prior and in preference to any distribution to holders of Series B preferred shares, Series A-2 preferred shares, Series A-1 preferred shares and the Company’s ordinary shareholders.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After all payments to the Series D preferred shareholders, each holder of the Series B preferred shares is entitled to receive an amount equal to 120% of the Series B issue price plus all declared but unpaid dividends prior and in preference to any distribution to holders of Series A-2 preferred shares, Series A-1 preferred shares and the Company’s ordinary shareholders.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After all payments to the Series B preferred shareholders, each holder of the Series A-2 and A-1 preferred shares is entitled to receive an amount equal to 120% of the Series A-2 and A-1 issue price plus all declared but unpaid dividends prior and in preference to any distribution to the Company’s ordinary shareholders.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After payments made to the preferred shareholders in accordance with the above, all of the remaining assets of the Company available for distribution to preferred and ordinary shareholders on a pro-rata basis on an as-converted basis.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 Rights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preferred sharesholders are entitled to receive non-cumulative dividends on pari passu basis accrued at a rate of five percent per annum of each series’ issuance price, in preference to ordinary shareholders if declared by the Board of Directors. No dividends or other distributions shall be made or declared until dividends have been paid in full on the Preferred Shares.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Voting Rights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preferred share shall carry a number of votes equal to the number of ordinary shares then issuable upon its conversion into ordinary shares at the record date for determination of the shareholders entitled to vote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40" w:hanging="444"/>
        <w:spacing w:after="0" w:line="385" w:lineRule="auto"/>
        <w:tabs>
          <w:tab w:leader="none" w:pos="389"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b w:val="1"/>
          <w:bCs w:val="1"/>
          <w:i w:val="1"/>
          <w:iCs w:val="1"/>
          <w:u w:val="single" w:color="auto"/>
          <w:color w:val="auto"/>
        </w:rPr>
        <w:t>Voting Rights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such matters, or, if no such record date is established, at the date such vote is taken or any written consent of shareholders is solicited.</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Accounting for redeemable convertible preferred shares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Preferred Shares are classified as mezzanine equity as they may be redeemed at the option of the holder on or after an agreed upon date or upon occurrence of certain events outside the Company’s sole control including deemed liquidation events. The Preferred Shares were initially measured at fair value on the Restructuring completion date, with the assistance of an independent third-party valuation firm, and retrospectively presented for the periods presented prior to the Restructuring (Note 1(b)). The Company uses the whole instrument approach to determine whether the nature of the host contract in a hybrid instrument is more akin to debt or equity. The Company evaluated and concluded none of the feature met the definition of an embedded derivative that required bifurcation accounting because the underlying ordinary shares are not publicly traded nor readily convertible into cash.</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Preferred Shares are not currently redeemable, but it is probable that the Preferred Shares will become redeemable. The Group elected to recognize the changes in redemption value immediately as they occur and adjust the carrying amount of the Preferred Shares to equal the redemption value at the end of each reporting period. No dividends or other distributions have be made or declared in each of the periods presented. The liquidation preference amount was RMB7,543,047 (US$1,040,234) as of December 31, 2022.</w:t>
      </w:r>
    </w:p>
    <w:p>
      <w:pPr>
        <w:spacing w:after="0" w:line="284" w:lineRule="exact"/>
        <w:rPr>
          <w:sz w:val="20"/>
          <w:szCs w:val="20"/>
          <w:color w:val="auto"/>
        </w:rPr>
      </w:pPr>
    </w:p>
    <w:p>
      <w:pPr>
        <w:ind w:left="560" w:right="7960" w:hanging="444"/>
        <w:spacing w:after="0" w:line="400" w:lineRule="auto"/>
        <w:tabs>
          <w:tab w:leader="none" w:pos="389" w:val="left"/>
        </w:tabs>
        <w:numPr>
          <w:ilvl w:val="0"/>
          <w:numId w:val="1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b w:val="1"/>
          <w:bCs w:val="1"/>
          <w:i w:val="1"/>
          <w:iCs w:val="1"/>
          <w:color w:val="auto"/>
        </w:rPr>
        <w:t>Employee option awards</w:t>
      </w: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June 30, 2015, the Predecessor’s shareholders and Board of Directors approved the 2015 Share Option Plan (“2015 Plan”), pursuant to which the Predecessor reserved 25,258,440 ordinary shares in the form of options for grants to its employees. On June 23, 2017, the Predecessor increased the maximum number of shares available for grants to 66,674,019 ordinary shares.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June 6, 2018, the Predecessor adopted the 2018 Amended and Restated Share Option Plan (the “2018 Plan”) which modified the 2015 Plan by increasing the minimum exercise price for each option from US$0.01 to US$0.2551 per option, unless subsequently revised by the Predecessor’s Board of Directors at its discretion. On January 1, 2020, the Predecessor further amended the 2018 Plan (the “2019 Plan”) which further increased the minimum exercise price to US$0.58006 per option, unless subsequently revised at the discretion of the Predecessor’s Board of Directors. The two amendments to the share option plan did not affect previously granted awards, and therefore did not result in modification accounting.</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options granted under the Predecessor’s plans generally vest over a period of four years, with 25% of the total shares vesting on first-, second-, third-, and fourth anniversaries of the vesting commencement date. Further, all grantees are restricted from exercising any options granted under the plans until the completion of the Predecessor’s IPO.</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May 2020, the Predecessor granted 2,507,698 warrants to key employees and selling shareholders of Beijing Yunyang as part of its acquisition. 1,444,448 of the warrants were issued to Beijing Yunyang employees as share-based awards and contained service and performance conditions. The warrants vest ratably over 4-years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6700" w:hanging="444"/>
        <w:spacing w:after="0" w:line="408" w:lineRule="auto"/>
        <w:tabs>
          <w:tab w:leader="none" w:pos="389"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(CONTINUED) </w:t>
      </w:r>
      <w:r>
        <w:rPr>
          <w:rFonts w:ascii="Times New Roman" w:cs="Times New Roman" w:eastAsia="Times New Roman" w:hAnsi="Times New Roman"/>
          <w:sz w:val="17"/>
          <w:szCs w:val="17"/>
          <w:b w:val="1"/>
          <w:bCs w:val="1"/>
          <w:i w:val="1"/>
          <w:iCs w:val="1"/>
          <w:color w:val="auto"/>
        </w:rPr>
        <w:t>Employee option awards (continued)</w:t>
      </w:r>
    </w:p>
    <w:p>
      <w:pPr>
        <w:spacing w:after="0" w:line="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and require the grantees to remain employed by the Predecessor. The grantees are restricted from exercising the warrants until the completion of the Predecessor’s IPO.</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Restructuring, the Company adopted a new share option plan to mirror the Predecessor’s plans, which was subsequently amended and restated in 2023 (the “2023 Plan”). The Predecessor’s plans contained mandatory equitable adjustment provisions for grantees and as a result, the Company granted the same number of options under the 2023 Plan as the then outstanding and awards granted under the Predecessor’s plan. The Company also issued the same number of warrants to certain key employees of Beijing Yunyang to mirror their warrants then outstanding held in the Predecessor upon the Restructuring. The fair value and exercise prices of the Company’s grants awarded in connection with the Restructuring were adjusted based on the relative fair values of the Company and the Predecessor on the Restructuring date. The Company estimated the fair value of the equity awards granted by the Predecessor and the 2023 Plan with the assistance of an independent third-party valuation firm and concluded there was no incremental share-based compensation expense to be recognized as of the restructuring date.</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options and warrants granted to employees are accounted for as equity awards and measured at their grant date fair values. Given that the inability of the grantees to exercise these options until the completion of the Predecessor’s IPO constituted a performance condition that was not considered probable until completion, the Company did not recognize any compensation expenses. Upon the completion of the IPO, the Company will immediately recognize share-based compensation expenses resulting from the vested options and warrants, and will continue to recognize the remaining compensation expenses over the remaining service requisite periods using the straight-line method.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employee equity award activities is stated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8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60" w:type="dxa"/>
            <w:vAlign w:val="bottom"/>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36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2021</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27,906,215</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0.27</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0.57</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11.76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24,837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8,282,743</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0.58</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0.27</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(6,996,750)</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0.39</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0.11</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29,192,208</w:t>
            </w:r>
          </w:p>
        </w:tc>
        <w:tc>
          <w:tcPr>
            <w:tcW w:w="4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0.33</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0.48</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10.76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2021</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29,192,208</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0.33</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0.48</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10,815,121</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0.41</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0.39</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(5,436,298)</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0.41</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0.09</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34,571,031</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0.34</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0.61</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21,026</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34,571,031</w:t>
            </w:r>
          </w:p>
        </w:tc>
        <w:tc>
          <w:tcPr>
            <w:tcW w:w="4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0.34</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0.61</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share options outstanding and exercisable represents the difference between the fair value of the Predecessor’s ordinary share of US$0.63 and US$0.65 per ordinary share as of December 31,</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6700" w:hanging="444"/>
        <w:spacing w:after="0" w:line="408" w:lineRule="auto"/>
        <w:tabs>
          <w:tab w:leader="none" w:pos="389"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(CONTINUED) </w:t>
      </w:r>
      <w:r>
        <w:rPr>
          <w:rFonts w:ascii="Times New Roman" w:cs="Times New Roman" w:eastAsia="Times New Roman" w:hAnsi="Times New Roman"/>
          <w:sz w:val="17"/>
          <w:szCs w:val="17"/>
          <w:b w:val="1"/>
          <w:bCs w:val="1"/>
          <w:i w:val="1"/>
          <w:iCs w:val="1"/>
          <w:color w:val="auto"/>
        </w:rPr>
        <w:t>Employee option awards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and 2022, respectively, and the options’ respective exercise price. The total intrinsic value of options exercised for the years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and 2022 were nil as no options were exercised.</w:t>
      </w:r>
    </w:p>
    <w:p>
      <w:pPr>
        <w:spacing w:after="0" w:line="20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unrecognized share-based compensation expense was RMB112,417 (US$15,503). Total unrecognized compensation cost may be adjusted for actual forfeitures occurring in the future.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employee share options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fair value of share options was determined using the binomial option valuation model, with the assistance from an independent third-party valuation firm. The binomial model requires the input of highly subjective assumptions, including the expected share price volatility and exercise multiple. For expected volatilities, the Company has made reference to historical volatilities of several comparable companies. The exercised multiple is estimated based on the changes in intrinsic value of the options and the likelihood of early exercises by employees. The dividend yield is estimated based on the Company’s expected dividend policy over the expected term of the options. The risk-free rate for periods within the contractual lives of the options is based on the market yield of U.S. Treasury Bonds in effect at the time of grant. The estimated fair value of the ordinary shares, at the option grant dates, were determined with the assistance of an independent third-party valuation firm.</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assumptions used to estimate the fair value of the share options granted to employees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40.5-41.2</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41.1-42.2</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an underlying Ordinary Share (US$)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0.55-0.63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0.62-0.65</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10.75-11.50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9.75-10.25</w:t>
            </w: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awards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October 2018, the Predecessor granted 1,051,669 restricted ordinary shares to founding shareholders of Beijing Yunche Network Technology Co., Ltd. (“Beijing Yunche”), as part of its acquisition of Beijing Yunche. The restricted shares require the founding shareholders to remain employed by the Predecessor and vest ratably over a 3-year term.</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To determine the fair value of the ordinary shares of the Company, the Company first determined the underlying equity value of the Company and then allocated a portion of the equity value to the ordinary shares of the Company based on their particular rights and preferences using the hybrid return method. To determine the equity value of the Company, the Company used the discounted cash flows (DCF) method. The DCF analysis is performed based on the projected cash flows using the Company’s best estimate as of the valuation date. The significant assumptions used in the DCF included projected cash flows and discount rate. The significant assumptions used to determine the fair value of the ordinary shares included the probability of IPO exit event, risk-free rate, equity volatility based on historical volatility of selected peer companies and DLOM.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6700" w:hanging="444"/>
        <w:spacing w:after="0" w:line="408" w:lineRule="auto"/>
        <w:tabs>
          <w:tab w:leader="none" w:pos="389"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(CONTINUED) </w:t>
      </w:r>
      <w:r>
        <w:rPr>
          <w:rFonts w:ascii="Times New Roman" w:cs="Times New Roman" w:eastAsia="Times New Roman" w:hAnsi="Times New Roman"/>
          <w:sz w:val="17"/>
          <w:szCs w:val="17"/>
          <w:b w:val="1"/>
          <w:bCs w:val="1"/>
          <w:i w:val="1"/>
          <w:iCs w:val="1"/>
          <w:color w:val="auto"/>
        </w:rPr>
        <w:t>Restricted share awards (continued)</w:t>
      </w:r>
    </w:p>
    <w:p>
      <w:pPr>
        <w:spacing w:after="0" w:line="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with the assistance of an independent third-party valuation firm, estimated the grant-date fair value of the restricted share was RMB9.51 per share. The Company recognized share-based compensation expenses of RMB2,713 and nil during the years ended December 31, 2021 and 2022, respectively.</w:t>
      </w:r>
    </w:p>
    <w:p>
      <w:pPr>
        <w:spacing w:after="0" w:line="280" w:lineRule="exact"/>
        <w:rPr>
          <w:sz w:val="20"/>
          <w:szCs w:val="20"/>
          <w:color w:val="auto"/>
        </w:rPr>
      </w:pPr>
    </w:p>
    <w:p>
      <w:pPr>
        <w:ind w:left="560" w:right="7300" w:hanging="444"/>
        <w:spacing w:after="0" w:line="377" w:lineRule="auto"/>
        <w:tabs>
          <w:tab w:leader="none" w:pos="389"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u w:val="single" w:color="auto"/>
          <w:color w:val="auto"/>
        </w:rPr>
        <w:t>Contingencies</w:t>
      </w:r>
    </w:p>
    <w:p>
      <w:pPr>
        <w:spacing w:after="0" w:line="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such as legal proceedings and claims arising out of its business, which are mainly related to Group’s non-execution of certain contracts signed with customers. Liabilities for contingencies are recorded when it is probable that a liability has been incurred and the amount of the assessment can be reasonably estimated. If the assessment indicates that a potential loss contingency is not probable, but is reasonably possible, or is probable but cannot be estimated, then the nature of the contingent liability, together with an estimate of the range of possible loss, if determinable and material, would be disclosed. The Company has accrued RMB85 and RMB4,074 (US$562) in the combined balance sheets as of December 31, 2021 and 2022, respectively.</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commitment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did not have any material commitments for fixed asset purchases as of December 31, 2022.</w:t>
      </w:r>
    </w:p>
    <w:p>
      <w:pPr>
        <w:spacing w:after="0" w:line="329" w:lineRule="exact"/>
        <w:rPr>
          <w:sz w:val="20"/>
          <w:szCs w:val="20"/>
          <w:color w:val="auto"/>
        </w:rPr>
      </w:pPr>
    </w:p>
    <w:p>
      <w:pPr>
        <w:ind w:left="560" w:right="9380" w:hanging="444"/>
        <w:spacing w:after="0" w:line="400" w:lineRule="auto"/>
        <w:tabs>
          <w:tab w:leader="none" w:pos="389"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 </w:t>
      </w:r>
      <w:r>
        <w:rPr>
          <w:rFonts w:ascii="Times New Roman" w:cs="Times New Roman" w:eastAsia="Times New Roman" w:hAnsi="Times New Roman"/>
          <w:sz w:val="17"/>
          <w:szCs w:val="17"/>
          <w:b w:val="1"/>
          <w:bCs w:val="1"/>
          <w:i w:val="1"/>
          <w:iCs w:val="1"/>
          <w:u w:val="single" w:color="auto"/>
          <w:color w:val="auto"/>
        </w:rPr>
        <w:t>Cayman Islands</w:t>
      </w:r>
    </w:p>
    <w:p>
      <w:pPr>
        <w:ind w:left="560"/>
        <w:spacing w:after="0"/>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gains arising in the Cayman Islands.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Additionally, upon payments of dividends by the Company to its shareholders, no Cayman Islands withholding tax will be imposed.</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British Virgin Islands (“BVI”)</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Subsidiaries in the BVI are exempted from income tax on their foreign-derived income in the BVI. There are no withholding taxes in the BVI.</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Hong Kong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subsidiary incorporated in Hong Kong is subject to income tax at the rate of 16.5% on the estimated assessable profits arising in Hong Kong. For the years ended December 31, 2021 and 2022, the Group did not make any provisions for Hong Kong profit tax as there were no assessable profits derived from or earned in Hong Kong for any of the periods presented.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PRC</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current enterprise income tax law (“EIT Law”) applies a uniform 25% EIT rate to both foreign invested enterprises and domestic enterprises, except for domestic enterprises qualified as small and micro enterprises (“MSME”) and High and New Technology Enterprise(“HNTE”). If the entity qualified as a MSME, then its taxable income will be taxed at 20% subject to certain taxable income exemptions. In accordance with the PRC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8300" w:hanging="444"/>
        <w:spacing w:after="0" w:line="408" w:lineRule="auto"/>
        <w:tabs>
          <w:tab w:leader="none" w:pos="389" w:val="left"/>
        </w:tabs>
        <w:numPr>
          <w:ilvl w:val="0"/>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 (CONTINUED) </w:t>
      </w:r>
      <w:r>
        <w:rPr>
          <w:rFonts w:ascii="Times New Roman" w:cs="Times New Roman" w:eastAsia="Times New Roman" w:hAnsi="Times New Roman"/>
          <w:sz w:val="17"/>
          <w:szCs w:val="17"/>
          <w:b w:val="1"/>
          <w:bCs w:val="1"/>
          <w:i w:val="1"/>
          <w:iCs w:val="1"/>
          <w:u w:val="single" w:color="auto"/>
          <w:color w:val="auto"/>
        </w:rPr>
        <w:t>The PRC (continued)</w:t>
      </w:r>
    </w:p>
    <w:p>
      <w:pPr>
        <w:spacing w:after="0" w:line="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Income Tax Law, an enterprise awarded with the HNTE certificate may enjoy a reduced EIT rate of 15% subject to a requirement that they re-apply for HNTE status every three years.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w:t>
      </w:r>
    </w:p>
    <w:p>
      <w:pPr>
        <w:spacing w:after="0" w:line="23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9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5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7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86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6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70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62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(456,141)</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(393,242)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(54,230)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Non-PRC</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(1,080)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5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(456,161)</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(394,322)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(54,379)</w:t>
            </w:r>
          </w:p>
        </w:tc>
      </w:tr>
      <w:tr>
        <w:trPr>
          <w:trHeight w:val="20"/>
        </w:trPr>
        <w:tc>
          <w:tcPr>
            <w:tcW w:w="5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current and deferred components of income tax expense appearing in the combined statements of comprehensive loss are as follows:</w:t>
      </w:r>
    </w:p>
    <w:p>
      <w:pPr>
        <w:spacing w:after="0" w:line="23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7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0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040" w:type="dxa"/>
            <w:vAlign w:val="bottom"/>
          </w:tcPr>
          <w:p>
            <w:pPr>
              <w:spacing w:after="0"/>
              <w:rPr>
                <w:sz w:val="12"/>
                <w:szCs w:val="12"/>
                <w:color w:val="auto"/>
              </w:rPr>
            </w:pPr>
          </w:p>
        </w:tc>
        <w:tc>
          <w:tcPr>
            <w:tcW w:w="62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2"/>
                <w:szCs w:val="12"/>
                <w:color w:val="auto"/>
              </w:rPr>
            </w:pPr>
          </w:p>
        </w:tc>
        <w:tc>
          <w:tcPr>
            <w:tcW w:w="46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3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r>
      <w:tr>
        <w:trPr>
          <w:trHeight w:val="142"/>
        </w:trPr>
        <w:tc>
          <w:tcPr>
            <w:tcW w:w="604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tcPr>
          <w:p>
            <w:pPr>
              <w:spacing w:after="0"/>
              <w:rPr>
                <w:sz w:val="12"/>
                <w:szCs w:val="12"/>
                <w:color w:val="auto"/>
              </w:rPr>
            </w:pPr>
          </w:p>
        </w:tc>
        <w:tc>
          <w:tcPr>
            <w:tcW w:w="3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w:t>
            </w:r>
          </w:p>
        </w:tc>
        <w:tc>
          <w:tcPr>
            <w:tcW w:w="9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2,246</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1,572</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w:t>
            </w: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(10,675)</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60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(8,429)</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1,058</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6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reconciliation of tax computed by applying the PRC statutory income tax rate of 25% for the years ended December 31, 2021 and 2022 to income tax expenses are as follows:</w:t>
      </w:r>
    </w:p>
    <w:p>
      <w:pPr>
        <w:spacing w:after="0" w:line="17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9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70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86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6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7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62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(456,161)</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(394,322)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(54,379)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computed at the statutory tax rate of 25%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(114,040)</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(98,581)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(13,595)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151,517</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42,608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super-deduction</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(32,772)</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(14,162)</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different tax rates in different jurisdictions and preferential tax</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1,101</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1,132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(14,844)</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69,682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9,610</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F-42</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8320" w:hanging="444"/>
        <w:spacing w:after="0" w:line="408" w:lineRule="auto"/>
        <w:tabs>
          <w:tab w:leader="none" w:pos="389" w:val="left"/>
        </w:tabs>
        <w:numPr>
          <w:ilvl w:val="0"/>
          <w:numId w:val="1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 (CONTINUED) </w:t>
      </w:r>
      <w:r>
        <w:rPr>
          <w:rFonts w:ascii="Times New Roman" w:cs="Times New Roman" w:eastAsia="Times New Roman" w:hAnsi="Times New Roman"/>
          <w:sz w:val="17"/>
          <w:szCs w:val="17"/>
          <w:i w:val="1"/>
          <w:iCs w:val="1"/>
          <w:color w:val="auto"/>
        </w:rPr>
        <w:t>Deferred Tax</w:t>
      </w: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significant components of deferred taxes were as follows:</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7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6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7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6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deductible advertising expense</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 and others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6,705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26,674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3,679</w:t>
            </w: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bad debt provision</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7,573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 carrying forward</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284,744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344,087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47,452</w:t>
            </w:r>
          </w:p>
        </w:tc>
      </w:tr>
      <w:tr>
        <w:trPr>
          <w:trHeight w:val="27"/>
        </w:trPr>
        <w:tc>
          <w:tcPr>
            <w:tcW w:w="5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300,747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380,513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52,476</w:t>
            </w: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(256,870)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(326,552)</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(45,034)</w:t>
            </w:r>
          </w:p>
        </w:tc>
      </w:tr>
      <w:tr>
        <w:trPr>
          <w:trHeight w:val="27"/>
        </w:trPr>
        <w:tc>
          <w:tcPr>
            <w:tcW w:w="5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43,877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53,961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7,442</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arising from acquisition</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(39,890)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(32,537)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(4,487)</w:t>
            </w: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(7,428)</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(24,438)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(3,371)</w:t>
            </w:r>
          </w:p>
        </w:tc>
      </w:tr>
      <w:tr>
        <w:trPr>
          <w:trHeight w:val="27"/>
        </w:trPr>
        <w:tc>
          <w:tcPr>
            <w:tcW w:w="5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(47,318)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(56,975)</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(7,858)</w:t>
            </w:r>
          </w:p>
        </w:tc>
      </w:tr>
      <w:tr>
        <w:trPr>
          <w:trHeight w:val="20"/>
        </w:trPr>
        <w:tc>
          <w:tcPr>
            <w:tcW w:w="5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2021 and 2022, the Group had tax losses of RMB1,204,851 and RMB1,956,960 (US$269,877) deriving from entities in Mainland China and Hong Kong. The tax losses in the Mainland China can be carried forward for five years to offset future taxable income and the period was extended to ten years for entities qualified as HNTE in 2021 and thereafter. The tax losses in Hong Kong can be carried forward without an expiration date.</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Group did not record any dividend withholding tax, as there were no taxable outside basis differences noted as of the end of the periods presented.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Uncertain Tax Benefits</w:t>
      </w:r>
    </w:p>
    <w:p>
      <w:pPr>
        <w:spacing w:after="0" w:line="11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2021 and 2022, the Group had unrecognized tax benefits of RMB21,254 and RMB62,191 (US$8,577), of which RMB19,052 and RMB58,513 (US$8,484), respectively, were deducted against the deferred tax assets on tax losses carried forward, and the remaining amounts of RMB2,202 and RMB3,678 (US$533), respectively, were presented in the other non-current liabilities in the combined balance sheets. It is possible that the amount of unrecognized benefits will change in the next 12 months; however, an estimate of the range of the possible change cannot be made at this moment. As of December 31, 2021, and 2022, there were RMB2,202 and RMB3,678 (US$507) of unrecognized tax benefits that if recognized would impact the annual effective tax rate. A reconciliation of the beginning and ending amount of unrecognized tax benefit is as follows:</w:t>
      </w:r>
    </w:p>
    <w:p>
      <w:pPr>
        <w:spacing w:after="0" w:line="208"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1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142"/>
        </w:trPr>
        <w:tc>
          <w:tcPr>
            <w:tcW w:w="31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4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9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21,254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w:t>
            </w:r>
          </w:p>
        </w:tc>
        <w:tc>
          <w:tcPr>
            <w:tcW w:w="2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3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40,937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5,645</w:t>
            </w:r>
          </w:p>
        </w:tc>
      </w:tr>
      <w:tr>
        <w:trPr>
          <w:trHeight w:val="27"/>
        </w:trPr>
        <w:tc>
          <w:tcPr>
            <w:tcW w:w="31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21,254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62,191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8,576</w:t>
            </w:r>
          </w:p>
        </w:tc>
      </w:tr>
      <w:tr>
        <w:trPr>
          <w:trHeight w:val="20"/>
        </w:trPr>
        <w:tc>
          <w:tcPr>
            <w:tcW w:w="3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37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F-43</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8060" w:hanging="444"/>
        <w:spacing w:after="0" w:line="408" w:lineRule="auto"/>
        <w:tabs>
          <w:tab w:leader="none" w:pos="389" w:val="left"/>
        </w:tabs>
        <w:numPr>
          <w:ilvl w:val="0"/>
          <w:numId w:val="1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 (CONTINUED) </w:t>
      </w:r>
      <w:r>
        <w:rPr>
          <w:rFonts w:ascii="Times New Roman" w:cs="Times New Roman" w:eastAsia="Times New Roman" w:hAnsi="Times New Roman"/>
          <w:sz w:val="17"/>
          <w:szCs w:val="17"/>
          <w:i w:val="1"/>
          <w:iCs w:val="1"/>
          <w:color w:val="auto"/>
        </w:rPr>
        <w:t>Uncertain Tax Benefits (continued)</w:t>
      </w: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did not record any interest or penalties related to uncertain tax position for each of the years ended December 31, 2021 and 2022.</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the tax years ended December 31, 2018 through 2022 for the Group’s subsidiaries in the PRC and the VIEs are generally subject to examination by the PRC tax authorities.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LOSS PER SHARE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computing the basic and diluted loss per share, the effect of the Restructuring (Note 1(b)) was accounted for in a manner similar to a stock split or stock dividend which was accounted for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Thus, the number of the ordinary shares and preferred shares issued upon the Restructuring by the Company was retrospectively included since the beginning of the earliest period presented.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each of the periods presented:</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37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45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tcPr>
          <w:p>
            <w:pPr>
              <w:spacing w:after="0"/>
              <w:rPr>
                <w:sz w:val="12"/>
                <w:szCs w:val="12"/>
                <w:color w:val="auto"/>
              </w:rPr>
            </w:pPr>
          </w:p>
        </w:tc>
        <w:tc>
          <w:tcPr>
            <w:tcW w:w="98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 shareholders of DSC</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Holdings Ltd.</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(443,710)</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(382,183)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(52,705)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136,159,402</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136,159,402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136,159,402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r>
              <w:rPr>
                <w:rFonts w:ascii="Times New Roman" w:cs="Times New Roman" w:eastAsia="Times New Roman" w:hAnsi="Times New Roman"/>
                <w:sz w:val="18"/>
                <w:szCs w:val="18"/>
                <w:color w:val="auto"/>
              </w:rPr>
              <w:t>—basic and diluted</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(3.26)</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r>
    </w:tbl>
    <w:p>
      <w:pPr>
        <w:spacing w:after="0" w:line="19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years presented, net loss was not allocated to the convertible preferred shares as they do not have contractual obligation to share in the losses of the Group. The computation also excluded the effects of all outstanding options, warrants and Preferred Shares as their inclusion would be anti-dilutive for all periods.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RESTRICTED NET ASSETS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Group’s ability to pay dividends is primarily dependent on the Company receiving distributions of funds from its subsidiaries. Relevant PRC statutory laws and regulations permit payments of dividends by the Company’s PRC subsidiaries only out of their retained earnings, if any, as determined in accordance with PRC accounting standards and regulations. The results of operations reflected in the combined financial statements prepared in accordance with U.S. GAAP differ from those reflected in the statutory financial statements of the Company’s PRC subsidiaries.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PRC Regulations on Enterprises with Foreign Investment and the articles of association, the Company’s PRC subsidiaries, must allocate at least 10% of its annual after-tax profit to a general reserve fund or statutory surplus fund until such reserve has reached 50% of the subsidiaries’ respective registered capital based on its PRC statutory accounts. The aforementioned reserves can only be used for specific purposes and are not distributable as cash dividends and are not transferable to the Company in the form of loans, advances, or cash dividends.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55" w:right="4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RESTRICTED NET ASSETS (CONTINUED)</w:t>
      </w:r>
    </w:p>
    <w:p>
      <w:pPr>
        <w:spacing w:after="0" w:line="13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and 2022, the Company’s PRC subsidiaries had appropriated RMB573 and RMB1,059 (US$146), respectively, in their combined statutory reserves.</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these PRC laws and regulations subject to the limit discussed above that require annual appropriations of 10% of after-tax income to be set aside, prior to payment of dividends as general reserve fund, the Company’s PRC subsidiaries are restricted in their ability to transfer a portion of their net assets to the Company. Amounts restricted include paid-in capital, additional paid-in capital and statutory reserve funds of the Company’s PRC subsidiaries, as determined pursuant to PRC generally accepted accounting principles, totaling RMB399,611 and RMB845,638 (US$116,619) as of December 31, 2021 and 2022,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subsequent events have been evaluated through </w:t>
      </w:r>
      <w:r>
        <w:rPr>
          <w:rFonts w:ascii="Times New Roman" w:cs="Times New Roman" w:eastAsia="Times New Roman" w:hAnsi="Times New Roman"/>
          <w:sz w:val="18"/>
          <w:szCs w:val="18"/>
          <w:u w:val="single" w:color="auto"/>
          <w:color w:val="auto"/>
        </w:rPr>
        <w:t>September 14</w:t>
      </w:r>
      <w:r>
        <w:rPr>
          <w:rFonts w:ascii="Times New Roman" w:cs="Times New Roman" w:eastAsia="Times New Roman" w:hAnsi="Times New Roman"/>
          <w:sz w:val="18"/>
          <w:szCs w:val="18"/>
          <w:color w:val="auto"/>
        </w:rPr>
        <w:t>, 2023, the date the financial statements are issued.</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August 2023, the Company and CTZC Limited (“CTZC”) closed the Series G financing, in which CTZC purchased 24,422,238 newly issued Series G preferred shares in exchange for RMB300,000 cash consideration. As part of the Series G financing, the earliest redemption date of all the preferred shares was changed to August 2025. Concurrently, the Company and Series E-3 and Series F preferred shareholders agreed to adjust the conversion ratio for the Series E-3 and Series F Preferred Shares from 1:1 to approximately 0.9984:1 and 0.9940:1,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PARENT COMPANY ONLY CONDENSED FINANCIAL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the condensed financial information of the Company on a parent company only basis.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Condensed balance sheets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7"/>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0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369,828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120,773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Contractual interests in the VIEs and their subsidiaries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245,827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649,627</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615,655</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770,400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106,244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615,655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770,400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0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6,549,889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6,549,889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903,271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4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40" w:type="dxa"/>
            <w:vAlign w:val="bottom"/>
          </w:tcPr>
          <w:p>
            <w:pPr>
              <w:spacing w:after="0"/>
              <w:rPr>
                <w:sz w:val="17"/>
                <w:szCs w:val="17"/>
                <w:color w:val="auto"/>
              </w:rPr>
            </w:pPr>
          </w:p>
        </w:tc>
        <w:tc>
          <w:tcPr>
            <w:tcW w:w="51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(US$0.0001 par value; 1,216,561,622 shares</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136,159,402 shares issued and outstanding as of</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2021 and 2022)</w:t>
            </w:r>
          </w:p>
        </w:tc>
        <w:tc>
          <w:tcPr>
            <w:tcW w:w="10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846,334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1,383,241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190,758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(6,780,181)</w:t>
            </w:r>
          </w:p>
        </w:tc>
        <w:tc>
          <w:tcPr>
            <w:tcW w:w="11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(7,162,364)</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(987,735)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(5,934,234)</w:t>
            </w:r>
          </w:p>
        </w:tc>
        <w:tc>
          <w:tcPr>
            <w:tcW w:w="11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(5,779,489)</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(797,027)</w:t>
            </w:r>
          </w:p>
        </w:tc>
        <w:tc>
          <w:tcPr>
            <w:tcW w:w="0" w:type="dxa"/>
            <w:vAlign w:val="bottom"/>
          </w:tcPr>
          <w:p>
            <w:pPr>
              <w:spacing w:after="0"/>
              <w:rPr>
                <w:sz w:val="1"/>
                <w:szCs w:val="1"/>
                <w:color w:val="auto"/>
              </w:rPr>
            </w:pPr>
          </w:p>
        </w:tc>
      </w:tr>
      <w:tr>
        <w:trPr>
          <w:trHeight w:val="201"/>
        </w:trPr>
        <w:tc>
          <w:tcPr>
            <w:tcW w:w="94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MEZZANINE EQUITY AND SHAREHOLDERS’</w:t>
            </w:r>
          </w:p>
        </w:tc>
        <w:tc>
          <w:tcPr>
            <w:tcW w:w="4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615,655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770,400</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106,244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comprehensive loss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0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gridSpan w:val="11"/>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in subsidiaries</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(299,418)</w:t>
            </w:r>
          </w:p>
        </w:tc>
        <w:tc>
          <w:tcPr>
            <w:tcW w:w="102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(343,443)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in the VIEs and their subsidiaries</w:t>
            </w:r>
          </w:p>
        </w:tc>
        <w:tc>
          <w:tcPr>
            <w:tcW w:w="4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(144,292)</w:t>
            </w:r>
          </w:p>
        </w:tc>
        <w:tc>
          <w:tcPr>
            <w:tcW w:w="102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(38,740)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to shareholders of DSC Holdings Ltd.</w:t>
            </w:r>
          </w:p>
        </w:tc>
        <w:tc>
          <w:tcPr>
            <w:tcW w:w="4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(443,710)</w:t>
            </w:r>
          </w:p>
        </w:tc>
        <w:tc>
          <w:tcPr>
            <w:tcW w:w="102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(382,183)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(52,705)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 of nil:</w:t>
            </w: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85</w:t>
            </w:r>
          </w:p>
        </w:tc>
        <w:tc>
          <w:tcPr>
            <w:tcW w:w="102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to shareholders of DSC Holdings Ltd.</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(443,625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(382,162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0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F-46</w:t>
            </w: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3640" w:hanging="444"/>
        <w:spacing w:after="0" w:line="427" w:lineRule="auto"/>
        <w:tabs>
          <w:tab w:leader="none" w:pos="389"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(CONTINUED) </w:t>
      </w:r>
      <w:r>
        <w:rPr>
          <w:rFonts w:ascii="Times New Roman" w:cs="Times New Roman" w:eastAsia="Times New Roman" w:hAnsi="Times New Roman"/>
          <w:sz w:val="18"/>
          <w:szCs w:val="18"/>
          <w:b w:val="1"/>
          <w:bCs w:val="1"/>
          <w:i w:val="1"/>
          <w:iCs w:val="1"/>
          <w:color w:val="auto"/>
        </w:rPr>
        <w:t>Condensed statements of cash flows</w:t>
      </w:r>
    </w:p>
    <w:p>
      <w:pPr>
        <w:spacing w:after="0" w:line="58"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6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5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7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(443,710)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(382,183)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(52,705)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in subsidiaries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299,418</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343,443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47,363</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in the VIEs and their subsidiaries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144,292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38,740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5,342</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the beginning of the year</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 at the end of the year</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Basis of presentation</w:t>
      </w:r>
    </w:p>
    <w:p>
      <w:pPr>
        <w:spacing w:after="0" w:line="11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Condensed financial information is used for the presentation of the Company, or the parent company. The condensed financial information of the parent company has been prepared using the same accounting policies as set out in the Company’s combined financial statements except that the parent company used the equity method to account for investment in its subsidiaries, the VIEs and VIEs’ subsidiaries.</w:t>
      </w:r>
    </w:p>
    <w:p>
      <w:pPr>
        <w:spacing w:after="0" w:line="17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its investments in subsidiaries, the VIEs and VIEs’ subsidiaries under the equity method of accounting as prescribed in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323-10 Investment-Equity Method and Joint Ventures</w:t>
      </w:r>
      <w:r>
        <w:rPr>
          <w:rFonts w:ascii="Times New Roman" w:cs="Times New Roman" w:eastAsia="Times New Roman" w:hAnsi="Times New Roman"/>
          <w:sz w:val="18"/>
          <w:szCs w:val="18"/>
          <w:color w:val="auto"/>
        </w:rPr>
        <w:t>, which are presented on the condensed balance sheets as “Investment in subsidiaries”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the VIEs and their subsidiaries”, respectively, and corresponding share of losses as “Share of losses in subsidiaries” and “Share of losses in the VIEs and their subsidiaries” on the condensed statements of comprehensive loss.</w:t>
      </w:r>
    </w:p>
    <w:p>
      <w:pPr>
        <w:spacing w:after="0" w:line="18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and as such, these Company-only financial statements should be read in conjunction with the Group’s combined financial statements.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AND CONSOLIDATED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420" w:type="dxa"/>
            <w:vAlign w:val="bottom"/>
          </w:tcPr>
          <w:p>
            <w:pPr>
              <w:spacing w:after="0"/>
              <w:rPr>
                <w:sz w:val="10"/>
                <w:szCs w:val="10"/>
                <w:color w:val="auto"/>
              </w:rPr>
            </w:pPr>
          </w:p>
        </w:tc>
        <w:tc>
          <w:tcPr>
            <w:tcW w:w="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1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4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161,012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244,628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33,736</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6,753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105,369</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84,840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11,700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92,663</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89,796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12,383</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39,762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65,475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2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98,082</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126,487</w:t>
            </w: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504,028</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617,979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85,222</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16,822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16,594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130,149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115,784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15,967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649,974</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649,974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89,636</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19,967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16,796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99,127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70,041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9,659</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67,102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99,745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10,614</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8,467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993,755</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977,401</w:t>
            </w: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1,497,783</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1,595,380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220,011</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payable (including amounts of the consolidated VIEs and VIEs’ subsidiaries without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recourse to the primary beneficiary of RMB6,075 and RMB11,179 (US$1,542) as of</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2022 and June 30, 2023, respectively)</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27,049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30,588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198"/>
        </w:trPr>
        <w:tc>
          <w:tcPr>
            <w:tcW w:w="74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Short-term loans (including amounts of the consolidated VIEs and VIEs’ subsidiaries without</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recourse to the primary beneficiary of RMB30,000 and RMB30,000 (US$4,137) as of</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2022 and June 30, 2023, respectively)</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198"/>
        </w:trPr>
        <w:tc>
          <w:tcPr>
            <w:tcW w:w="74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Contract liabilities and customer advance (including amounts of the consolidated VIEs and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VIEs’ subsidiaries without recourse to the primary beneficiary of RMB21,533 and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RMB19,224 (US$2,651) as of December 31, 2022 and June 30, 2023, respectively)</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65,001</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68,379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left="440" w:right="780"/>
        <w:spacing w:after="0" w:line="454"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combined and consolidated financial statements. F-48</w:t>
      </w:r>
    </w:p>
    <w:p>
      <w:pPr>
        <w:sectPr>
          <w:pgSz w:w="11900" w:h="16838" w:orient="portrait"/>
          <w:cols w:equalWidth="0" w:num="1">
            <w:col w:w="11140"/>
          </w:cols>
          <w:pgMar w:left="320" w:top="455" w:right="4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AND CONSOLIDATED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60" w:type="dxa"/>
            <w:vAlign w:val="bottom"/>
          </w:tcPr>
          <w:p>
            <w:pPr>
              <w:spacing w:after="0"/>
              <w:rPr>
                <w:sz w:val="10"/>
                <w:szCs w:val="10"/>
                <w:color w:val="auto"/>
              </w:rPr>
            </w:pP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gridSpan w:val="2"/>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94"/>
        </w:trPr>
        <w:tc>
          <w:tcPr>
            <w:tcW w:w="7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1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due to related parties (including amounts of the consolidated VIEs and VIEs’</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subsidiaries without recourse to the primary beneficiary of RMB4,343 and RMB2,352</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(US$324) as of December 31, 2022 and June 30, 2023, respectively )</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36,132</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40,698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5,613</w:t>
            </w:r>
          </w:p>
        </w:tc>
        <w:tc>
          <w:tcPr>
            <w:tcW w:w="0" w:type="dxa"/>
            <w:vAlign w:val="bottom"/>
          </w:tcPr>
          <w:p>
            <w:pPr>
              <w:spacing w:after="0"/>
              <w:rPr>
                <w:sz w:val="1"/>
                <w:szCs w:val="1"/>
                <w:color w:val="auto"/>
              </w:rPr>
            </w:pPr>
          </w:p>
        </w:tc>
      </w:tr>
      <w:tr>
        <w:trPr>
          <w:trHeight w:val="198"/>
        </w:trPr>
        <w:tc>
          <w:tcPr>
            <w:tcW w:w="7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liabilities, current portion (including amounts of the consolidated VIEs</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VIEs’ subsidiaries without recourse to the primary beneficiary of RMB2,101 and</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RMB2,879 (US$397) as of December 31, 2022 and June 30, 2023, respectively )</w:t>
            </w: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21,318</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25,724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198"/>
        </w:trPr>
        <w:tc>
          <w:tcPr>
            <w:tcW w:w="71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(including amounts of the consolidated</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VIEs and VIEs’ subsidiaries without recourse to the primary beneficiary of</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RMB132,779 and RMB149,006 (US$20,549) as of December 31, 2022 and June 30,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 respectively )</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195,732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209,031</w:t>
            </w:r>
          </w:p>
        </w:tc>
        <w:tc>
          <w:tcPr>
            <w:tcW w:w="3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415,232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444,420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61,286</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Deferred tax liabilities (including amounts of the consolidated VIEs and VIEs’</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subsidiaries without recourse to the primary beneficiary of RMB3,014 and RMB5,363</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(US$740) as of December 31, 2022 and June 30, 2023, respectively)</w:t>
            </w: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3,014</w:t>
            </w: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5,363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198"/>
        </w:trPr>
        <w:tc>
          <w:tcPr>
            <w:tcW w:w="71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due to related parties, non-current (including amounts of the consolidated VIEs</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VIEs’ subsidiaries without recourse to the primary beneficiary of RMB41,291 and</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RMB40,385 (US$5,569) as of December 31, 2022 and June 30, 2023, respectively)</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225,576</w:t>
            </w:r>
          </w:p>
        </w:tc>
        <w:tc>
          <w:tcPr>
            <w:tcW w:w="3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430,908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59,425</w:t>
            </w:r>
          </w:p>
        </w:tc>
        <w:tc>
          <w:tcPr>
            <w:tcW w:w="0" w:type="dxa"/>
            <w:vAlign w:val="bottom"/>
          </w:tcPr>
          <w:p>
            <w:pPr>
              <w:spacing w:after="0"/>
              <w:rPr>
                <w:sz w:val="1"/>
                <w:szCs w:val="1"/>
                <w:color w:val="auto"/>
              </w:rPr>
            </w:pPr>
          </w:p>
        </w:tc>
      </w:tr>
      <w:tr>
        <w:trPr>
          <w:trHeight w:val="198"/>
        </w:trPr>
        <w:tc>
          <w:tcPr>
            <w:tcW w:w="7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liabilities (including amounts of the consolidated VIEs and VIEs’</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subsidiaries without recourse to the primary beneficiary of RMB1,808 and RMB1,099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(US$152) as of December 31, 2022 and June 30, 2023, respectively)</w:t>
            </w: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76,947</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48,483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6,686</w:t>
            </w:r>
          </w:p>
        </w:tc>
        <w:tc>
          <w:tcPr>
            <w:tcW w:w="0" w:type="dxa"/>
            <w:vAlign w:val="bottom"/>
          </w:tcPr>
          <w:p>
            <w:pPr>
              <w:spacing w:after="0"/>
              <w:rPr>
                <w:sz w:val="1"/>
                <w:szCs w:val="1"/>
                <w:color w:val="auto"/>
              </w:rPr>
            </w:pPr>
          </w:p>
        </w:tc>
      </w:t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3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309,215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489,226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67,468</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724,447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933,646</w:t>
            </w:r>
          </w:p>
        </w:tc>
        <w:tc>
          <w:tcPr>
            <w:tcW w:w="3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780"/>
        <w:spacing w:after="0" w:line="454"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combined and consolidated financial statements. F-49</w:t>
      </w:r>
    </w:p>
    <w:p>
      <w:pPr>
        <w:sectPr>
          <w:pgSz w:w="11900" w:h="16838" w:orient="portrait"/>
          <w:cols w:equalWidth="0" w:num="1">
            <w:col w:w="11140"/>
          </w:cols>
          <w:pgMar w:left="320" w:top="455" w:right="4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AND CONSOLIDATED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2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94"/>
        </w:trPr>
        <w:tc>
          <w:tcPr>
            <w:tcW w:w="7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A-1 redeemable convertible preferred shares (US$0.0001 par value; 6,250,000</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2022 and June 30, 2023)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25,503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25,503</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A-2 redeemable convertible preferred shares (US$0.0001 par value; 46,135,648</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2022 and June 30, 2023)</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188,258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188,258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25,962</w:t>
            </w:r>
          </w:p>
        </w:tc>
        <w:tc>
          <w:tcPr>
            <w:tcW w:w="0" w:type="dxa"/>
            <w:vAlign w:val="bottom"/>
          </w:tcPr>
          <w:p>
            <w:pPr>
              <w:spacing w:after="0"/>
              <w:rPr>
                <w:sz w:val="1"/>
                <w:szCs w:val="1"/>
                <w:color w:val="auto"/>
              </w:rPr>
            </w:pPr>
          </w:p>
        </w:tc>
      </w:tr>
      <w:tr>
        <w:trPr>
          <w:trHeight w:val="198"/>
        </w:trPr>
        <w:tc>
          <w:tcPr>
            <w:tcW w:w="7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shares (US$0.0001 par value; 11,185,680</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2022 and June 30, 2023)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46,976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46,976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 redeemable convertible preferred shares (US$0.0001 par value; 88,188,400</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2022 and June 30, 2023)</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398,275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629,190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86,769</w:t>
            </w:r>
          </w:p>
        </w:tc>
        <w:tc>
          <w:tcPr>
            <w:tcW w:w="0" w:type="dxa"/>
            <w:vAlign w:val="bottom"/>
          </w:tcPr>
          <w:p>
            <w:pPr>
              <w:spacing w:after="0"/>
              <w:rPr>
                <w:sz w:val="1"/>
                <w:szCs w:val="1"/>
                <w:color w:val="auto"/>
              </w:rPr>
            </w:pPr>
          </w:p>
        </w:tc>
      </w:tr>
      <w:tr>
        <w:trPr>
          <w:trHeight w:val="198"/>
        </w:trPr>
        <w:tc>
          <w:tcPr>
            <w:tcW w:w="7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D-1 redeemable convertible preferred shares (US$0.0001 par value; 149,920,280</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2022 and June 30, 2023)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756,257</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1,622,939</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223,814</w:t>
            </w: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E-1 redeemable convertible preferred shares (US$0.0001 par value; 108,466,752</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2022 and June 30, 2023)</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660,079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1,274,747</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175,796</w:t>
            </w:r>
          </w:p>
        </w:tc>
        <w:tc>
          <w:tcPr>
            <w:tcW w:w="0" w:type="dxa"/>
            <w:vAlign w:val="bottom"/>
          </w:tcPr>
          <w:p>
            <w:pPr>
              <w:spacing w:after="0"/>
              <w:rPr>
                <w:sz w:val="1"/>
                <w:szCs w:val="1"/>
                <w:color w:val="auto"/>
              </w:rPr>
            </w:pPr>
          </w:p>
        </w:tc>
      </w:tr>
      <w:tr>
        <w:trPr>
          <w:trHeight w:val="198"/>
        </w:trPr>
        <w:tc>
          <w:tcPr>
            <w:tcW w:w="7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E-2 redeemable convertible preferred shares (US$0.0001 par value; 166,052,206</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2022 and June 30, 2023)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1,106,730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2,473,864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341,161</w:t>
            </w: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E-3 redeemable convertible preferred shares (US$0.0001 par value; 43,099,293</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2022 and June 30, 2023)</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482,409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1,062,362</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146,506</w:t>
            </w:r>
          </w:p>
        </w:tc>
        <w:tc>
          <w:tcPr>
            <w:tcW w:w="0" w:type="dxa"/>
            <w:vAlign w:val="bottom"/>
          </w:tcPr>
          <w:p>
            <w:pPr>
              <w:spacing w:after="0"/>
              <w:rPr>
                <w:sz w:val="1"/>
                <w:szCs w:val="1"/>
                <w:color w:val="auto"/>
              </w:rPr>
            </w:pPr>
          </w:p>
        </w:tc>
      </w:tr>
      <w:tr>
        <w:trPr>
          <w:trHeight w:val="198"/>
        </w:trPr>
        <w:tc>
          <w:tcPr>
            <w:tcW w:w="7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F redeemable convertible preferred shares (US$0.0001 par value; 164,140,119</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2022 and June 30, 2023)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2,885,402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5,007,444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690,559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6,549,889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12,331,283</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1,700,562</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780"/>
        <w:spacing w:after="0" w:line="454"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combined and consolidated financial statements. F-50</w:t>
      </w:r>
    </w:p>
    <w:p>
      <w:pPr>
        <w:sectPr>
          <w:pgSz w:w="11900" w:h="16838" w:orient="portrait"/>
          <w:cols w:equalWidth="0" w:num="1">
            <w:col w:w="11140"/>
          </w:cols>
          <w:pgMar w:left="320" w:top="455" w:right="4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AND CONSOLIDATED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2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0" w:type="dxa"/>
            <w:vAlign w:val="bottom"/>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gridSpan w:val="2"/>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94"/>
        </w:trPr>
        <w:tc>
          <w:tcPr>
            <w:tcW w:w="754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(US$0.0001 par value; 1,216,561,622 shares authorized, 136,159,402</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as of December 31, 2022 and June 30, 2023)</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1,383,241</w:t>
            </w:r>
          </w:p>
        </w:tc>
        <w:tc>
          <w:tcPr>
            <w:tcW w:w="3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(7,162,364)</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(11,667,396)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(1,609,010)</w:t>
            </w:r>
          </w:p>
        </w:tc>
        <w:tc>
          <w:tcPr>
            <w:tcW w:w="0" w:type="dxa"/>
            <w:vAlign w:val="bottom"/>
          </w:tcPr>
          <w:p>
            <w:pPr>
              <w:spacing w:after="0"/>
              <w:rPr>
                <w:sz w:val="1"/>
                <w:szCs w:val="1"/>
                <w:color w:val="auto"/>
              </w:rPr>
            </w:pPr>
          </w:p>
        </w:tc>
      </w:tr>
      <w:tr>
        <w:trPr>
          <w:trHeight w:val="229"/>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(489)</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DSC Holdings Ltd. shareholders’ deficit</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(5,779,489)</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(11,666,957)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(1,608,948)</w:t>
            </w:r>
          </w:p>
        </w:tc>
        <w:tc>
          <w:tcPr>
            <w:tcW w:w="0" w:type="dxa"/>
            <w:vAlign w:val="bottom"/>
          </w:tcPr>
          <w:p>
            <w:pPr>
              <w:spacing w:after="0"/>
              <w:rPr>
                <w:sz w:val="1"/>
                <w:szCs w:val="1"/>
                <w:color w:val="auto"/>
              </w:rPr>
            </w:pPr>
          </w:p>
        </w:tc>
      </w:tr>
      <w:tr>
        <w:trPr>
          <w:trHeight w:val="230"/>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3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(5,776,553)</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(11,669,549)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(1,609,305)</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1,497,783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1,595,380</w:t>
            </w: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780"/>
        <w:spacing w:after="0" w:line="454"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combined and consolidated financial statements. F-51</w:t>
      </w:r>
    </w:p>
    <w:p>
      <w:pPr>
        <w:sectPr>
          <w:pgSz w:w="11900" w:h="16838" w:orient="portrait"/>
          <w:cols w:equalWidth="0" w:num="1">
            <w:col w:w="11140"/>
          </w:cols>
          <w:pgMar w:left="320" w:top="455"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AND CONSOLIDATED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 except for number of</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6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8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81"/>
        </w:trPr>
        <w:tc>
          <w:tcPr>
            <w:tcW w:w="68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(including revenues from related parties of RMB23,794 and RMB73,132 (US$10,085)</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 the six months ended June 30, 2022 and 2023, respectively)</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208,727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353,577</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48,760</w:t>
            </w:r>
          </w:p>
        </w:tc>
        <w:tc>
          <w:tcPr>
            <w:tcW w:w="0" w:type="dxa"/>
            <w:vAlign w:val="bottom"/>
          </w:tcPr>
          <w:p>
            <w:pPr>
              <w:spacing w:after="0"/>
              <w:rPr>
                <w:sz w:val="1"/>
                <w:szCs w:val="1"/>
                <w:color w:val="auto"/>
              </w:rPr>
            </w:pPr>
          </w:p>
        </w:tc>
      </w:tr>
      <w:tr>
        <w:trPr>
          <w:trHeight w:val="181"/>
        </w:trPr>
        <w:tc>
          <w:tcPr>
            <w:tcW w:w="68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Cost of revenues (including cost of revenues from related parties of RMB10,308 and RMB4,109</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(US$567) for the six months ended June 30, 2022 and 2023, respectively)</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(144,815)</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(220,713)</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(30,438)</w:t>
            </w:r>
          </w:p>
        </w:tc>
        <w:tc>
          <w:tcPr>
            <w:tcW w:w="0" w:type="dxa"/>
            <w:vAlign w:val="bottom"/>
          </w:tcPr>
          <w:p>
            <w:pPr>
              <w:spacing w:after="0"/>
              <w:rPr>
                <w:sz w:val="1"/>
                <w:szCs w:val="1"/>
                <w:color w:val="auto"/>
              </w:rPr>
            </w:pPr>
          </w:p>
        </w:tc>
      </w:tr>
      <w:tr>
        <w:trPr>
          <w:trHeight w:val="28"/>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63,912</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132,864</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18,322</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and marketing expenses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(144,563)</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(125,566)</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(17,316)</w:t>
            </w:r>
          </w:p>
        </w:tc>
        <w:tc>
          <w:tcPr>
            <w:tcW w:w="0" w:type="dxa"/>
            <w:vAlign w:val="bottom"/>
          </w:tcPr>
          <w:p>
            <w:pPr>
              <w:spacing w:after="0"/>
              <w:rPr>
                <w:sz w:val="1"/>
                <w:szCs w:val="1"/>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(109,713)</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(80,492)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(11,100)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(71,315)</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(39,654)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(5,469)</w:t>
            </w:r>
          </w:p>
        </w:tc>
        <w:tc>
          <w:tcPr>
            <w:tcW w:w="0" w:type="dxa"/>
            <w:vAlign w:val="bottom"/>
          </w:tcPr>
          <w:p>
            <w:pPr>
              <w:spacing w:after="0"/>
              <w:rPr>
                <w:sz w:val="1"/>
                <w:szCs w:val="1"/>
                <w:color w:val="auto"/>
              </w:rPr>
            </w:pPr>
          </w:p>
        </w:tc>
      </w:tr>
      <w:tr>
        <w:trPr>
          <w:trHeight w:val="217"/>
        </w:trPr>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(325,591)</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(245,712)</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(33,885)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(261,679)</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(112,848)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(15,563)</w:t>
            </w:r>
          </w:p>
        </w:tc>
        <w:tc>
          <w:tcPr>
            <w:tcW w:w="0" w:type="dxa"/>
            <w:vAlign w:val="bottom"/>
          </w:tcPr>
          <w:p>
            <w:pPr>
              <w:spacing w:after="0"/>
              <w:rPr>
                <w:sz w:val="1"/>
                <w:szCs w:val="1"/>
                <w:color w:val="auto"/>
              </w:rPr>
            </w:pPr>
          </w:p>
        </w:tc>
      </w:tr>
      <w:tr>
        <w:trPr>
          <w:trHeight w:val="210"/>
        </w:trPr>
        <w:tc>
          <w:tcPr>
            <w:tcW w:w="6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(1,833)</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exchange loss, net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(45)</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(82)</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Others, net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2,842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before income taxes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(262,027)</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(111,921)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(15,435)</w:t>
            </w:r>
          </w:p>
        </w:tc>
        <w:tc>
          <w:tcPr>
            <w:tcW w:w="0" w:type="dxa"/>
            <w:vAlign w:val="bottom"/>
          </w:tcPr>
          <w:p>
            <w:pPr>
              <w:spacing w:after="0"/>
              <w:rPr>
                <w:sz w:val="1"/>
                <w:szCs w:val="1"/>
                <w:color w:val="auto"/>
              </w:rPr>
            </w:pPr>
          </w:p>
        </w:tc>
      </w:tr>
      <w:tr>
        <w:trPr>
          <w:trHeight w:val="216"/>
        </w:trPr>
        <w:tc>
          <w:tcPr>
            <w:tcW w:w="6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tax expenses</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(525)</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(3,392)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Share of profit from equity method investments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2,328</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1,630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(260,224)</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(113,683)</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(15,678)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(4,158)</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(6,804)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(938)</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attributable to DSC Holdings Ltd.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(256,066)</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(106,879)</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(14,740)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Accretion of the Company’s preferred shares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(5,781,394)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(797,291)</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attributable to ordinary shareholders of DSC Holdings Ltd.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(256,066)</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(5,888,273)</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(812,031)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per share: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 and diluted</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(1.88)</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(43.25)</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average shares: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 and diluted</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136,159,402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136,159,402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136,159,402</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(loss) income, net of tax of nil:</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(1,138)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805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(261,362)</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(112,878)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(15,567)</w:t>
            </w:r>
          </w:p>
        </w:tc>
        <w:tc>
          <w:tcPr>
            <w:tcW w:w="0" w:type="dxa"/>
            <w:vAlign w:val="bottom"/>
          </w:tcPr>
          <w:p>
            <w:pPr>
              <w:spacing w:after="0"/>
              <w:rPr>
                <w:sz w:val="1"/>
                <w:szCs w:val="1"/>
                <w:color w:val="auto"/>
              </w:rPr>
            </w:pPr>
          </w:p>
        </w:tc>
      </w:tr>
      <w:tr>
        <w:trPr>
          <w:trHeight w:val="217"/>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(6,804)</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loss attributable to shareholders of DSC Holdings Ltd.</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(257,204)</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(106,074)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(14,629)</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Accretion of the Company’s preferred shares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(5,781,394)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(797,291)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loss attributable to ordinary shareholders of DSC Holdings Ltd.</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(257,204)</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(5,887,468)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(811,920)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780"/>
        <w:spacing w:after="0" w:line="454"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combined and consolidated financial statements. F-52</w:t>
      </w:r>
    </w:p>
    <w:p>
      <w:pPr>
        <w:sectPr>
          <w:pgSz w:w="11900" w:h="16838" w:orient="portrait"/>
          <w:cols w:equalWidth="0" w:num="1">
            <w:col w:w="11140"/>
          </w:cols>
          <w:pgMar w:left="320" w:top="455"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AND CONSOLIDATED STATEMENTS OF CHANGES IN SHAREHOLDERS’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 except for number of shares)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Attributable to DSC Holdings Ltd.</w:t>
            </w: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vMerge w:val="restart"/>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12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vMerge w:val="continue"/>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RMB</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14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RMB</w:t>
            </w: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04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136,159,402</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846,334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(510)</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(6,780,181)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(6,195)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(5,940,429)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center"/>
              <w:ind w:left="414"/>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(256,066)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(260,224)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Predecessor</w:t>
            </w:r>
          </w:p>
        </w:tc>
        <w:tc>
          <w:tcPr>
            <w:tcW w:w="1120" w:type="dxa"/>
            <w:vAlign w:val="bottom"/>
            <w:gridSpan w:val="2"/>
          </w:tcPr>
          <w:p>
            <w:pPr>
              <w:jc w:val="center"/>
              <w:ind w:left="414"/>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distribution to noncontrolling interest</w:t>
            </w:r>
          </w:p>
        </w:tc>
        <w:tc>
          <w:tcPr>
            <w:tcW w:w="1120" w:type="dxa"/>
            <w:vAlign w:val="bottom"/>
            <w:gridSpan w:val="2"/>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(3,009)</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3,009</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from noncontrolling interests</w:t>
            </w:r>
          </w:p>
        </w:tc>
        <w:tc>
          <w:tcPr>
            <w:tcW w:w="96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10,519</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10,519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 (unaudited)</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136,159,402</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848,325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(1,648)</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(7,036,247)</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3,175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(6,186,272)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136,159,402</w:t>
            </w:r>
          </w:p>
        </w:tc>
        <w:tc>
          <w:tcPr>
            <w:tcW w:w="1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123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1,383,241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(7,162,364)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(5,776,553)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(106,879)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(6,804)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tcPr>
          <w:p>
            <w:pPr>
              <w:jc w:val="center"/>
              <w:ind w:left="414"/>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805</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the Company’s preferred shares</w:t>
            </w:r>
          </w:p>
        </w:tc>
        <w:tc>
          <w:tcPr>
            <w:tcW w:w="1120" w:type="dxa"/>
            <w:vAlign w:val="bottom"/>
            <w:gridSpan w:val="2"/>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(1,383,241)</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(4,398,153)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(5,781,394)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from noncontrolling interest</w:t>
            </w:r>
          </w:p>
        </w:tc>
        <w:tc>
          <w:tcPr>
            <w:tcW w:w="1120" w:type="dxa"/>
            <w:vAlign w:val="bottom"/>
            <w:gridSpan w:val="2"/>
          </w:tcPr>
          <w:p>
            <w:pPr>
              <w:jc w:val="center"/>
              <w:ind w:left="414"/>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a subsidiary</w:t>
            </w:r>
          </w:p>
        </w:tc>
        <w:tc>
          <w:tcPr>
            <w:tcW w:w="1120" w:type="dxa"/>
            <w:vAlign w:val="bottom"/>
            <w:gridSpan w:val="2"/>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876</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 (unaudited)</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136,159,402</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123</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w w:val="88"/>
              </w:rPr>
              <w:t>316</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(11,667,396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(2,592)</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(11,669,549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June 30, 2023, in US$</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(1,609,010)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(1,609,305)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780"/>
        <w:spacing w:after="0" w:line="454"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combined and consolidated financial statements. F-53</w:t>
      </w:r>
    </w:p>
    <w:p>
      <w:pPr>
        <w:sectPr>
          <w:pgSz w:w="11900" w:h="16838" w:orient="portrait"/>
          <w:cols w:equalWidth="0" w:num="1">
            <w:col w:w="11140"/>
          </w:cols>
          <w:pgMar w:left="320" w:top="455" w:right="4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AND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30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79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r>
      <w:tr>
        <w:trPr>
          <w:trHeight w:val="117"/>
        </w:trPr>
        <w:tc>
          <w:tcPr>
            <w:tcW w:w="79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120" w:type="dxa"/>
            <w:vAlign w:val="bottom"/>
          </w:tcPr>
          <w:p>
            <w:pPr>
              <w:spacing w:after="0"/>
              <w:rPr>
                <w:sz w:val="10"/>
                <w:szCs w:val="10"/>
                <w:color w:val="auto"/>
              </w:rPr>
            </w:pPr>
          </w:p>
        </w:tc>
      </w:tr>
      <w:tr>
        <w:trPr>
          <w:trHeight w:val="173"/>
        </w:trPr>
        <w:tc>
          <w:tcPr>
            <w:tcW w:w="79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(260,224)</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(113,683)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(15,678)</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17,483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17,256</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2,380</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of allowance for credit losses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7,666</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4,712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from equity method investment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profit from equity method investments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(2,328)</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gain from disposal a subsidiary</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(3,817)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(25,322)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16,003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2,207</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(13,410)</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4,912</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(25,691)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(3,543)</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44,495</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(26,799)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(3,695)</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7,653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6,158</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(1,836)</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 and customer advance</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29,672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3,378</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(1,359)</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6,329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(9,279)</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15,375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2,120</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738</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(195,257)</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(92,948)</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(12,817)</w:t>
            </w:r>
          </w:p>
        </w:tc>
        <w:tc>
          <w:tcPr>
            <w:tcW w:w="12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(22,510)</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short-term investments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22,510</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a subsidiary</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fixed assets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(6,377)</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(2,665)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(368)</w:t>
            </w:r>
          </w:p>
        </w:tc>
      </w:tr>
      <w:tr>
        <w:trPr>
          <w:trHeight w:val="20"/>
        </w:trPr>
        <w:tc>
          <w:tcPr>
            <w:tcW w:w="7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780"/>
        <w:spacing w:after="0" w:line="454"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combined and consolidated financial statements. F-54</w:t>
      </w:r>
    </w:p>
    <w:p>
      <w:pPr>
        <w:sectPr>
          <w:pgSz w:w="11900" w:h="16838" w:orient="portrait"/>
          <w:cols w:equalWidth="0" w:num="1">
            <w:col w:w="11140"/>
          </w:cols>
          <w:pgMar w:left="320" w:top="455" w:right="4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INTERIM CONDENSED COMBINED AND CONSOLIDATED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28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Predecessor</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loans provided by Predecessor</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112,270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187,637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25,876</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loans provided by third party</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80,000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11,033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short-term loans provided by third party</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(11,033)</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loans provided by related party</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short-term loans provided by related party</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10,519</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207,789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178,037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24,551</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5,017</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83,229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11,477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116,062</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168,152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23,190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121,079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251,381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34,667</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114,326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244,628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33,736</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shows in the statement of cash flows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121,079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251,381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34,667</w:t>
            </w:r>
          </w:p>
        </w:tc>
        <w:tc>
          <w:tcPr>
            <w:tcW w:w="0" w:type="dxa"/>
            <w:vAlign w:val="bottom"/>
          </w:tcPr>
          <w:p>
            <w:pPr>
              <w:spacing w:after="0"/>
              <w:rPr>
                <w:sz w:val="1"/>
                <w:szCs w:val="1"/>
                <w:color w:val="auto"/>
              </w:rPr>
            </w:pPr>
          </w:p>
        </w:tc>
      </w:tr>
      <w:tr>
        <w:trPr>
          <w:trHeight w:val="331"/>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left="440" w:right="780"/>
        <w:spacing w:after="0" w:line="454"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combined and consolidated financial statements. F-55</w:t>
      </w:r>
    </w:p>
    <w:p>
      <w:pPr>
        <w:sectPr>
          <w:pgSz w:w="11900" w:h="16838" w:orient="portrait"/>
          <w:cols w:equalWidth="0" w:num="1">
            <w:col w:w="11140"/>
          </w:cols>
          <w:pgMar w:left="320" w:top="455" w:right="4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17"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1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DSC Holdings Ltd. (the “Company”, “DSC”) was incorporated in the Cayman Islands in July 2021 as a wholly owned subsidiary of Souche Holdings Ltd. (“Souche Holdings”, or the “Predecessor”). The Company (and its Predecessor prior to the restructuring), through its subsidiaries, the variable interest entities (“VIEs”) and VIEs’ subsidiaries (collectively, the “Group”), provides digitalization solutions and transaction services enabling automobile merchants to digitalize, integrate and optimize their operations in the People’s Republic of China (the “PRC”).</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 Restructuring</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On October 1, 2022, the board of directors of Souche Holdings approved a resolution to split the Predecessor’s businesses, whereby the digitalization solutions and transaction services (the “Listing Businesses”) were transferred from the Predecessor to the Company (the “Restructuring”). As part of the Restructuring, the shareholders of the Predecessor received the Company’s ordinary shares and/or convertible redeemable preferred shares, or in some cases, warrants to purchase the Company’s ordinary shares and/or convertible redeemable preferred shares (the “Restructuring Warrants”). Holders of these warrants were entitled to the equivalent rights and obligations as the underlying ordinary shares and/or preferred shares as if they had been exercised, such that each shareholder’s right and equity interests in the Company were identical to their rights and equity interests in Souche Holdings. The Restructuring Warrants were fully exercised and converted into ordinary shares or preferred shares prior to the completion of the Restructuring. The Restructuring was completed in June 2023.</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June 30, 2023, there was no change in the Company’s principal subsidiaries, VIEs and subsidiaries of the VIEs, except for Zhejiang Dasouche Chain Gold Data Technology Co., Ltd. This subsidiary was established in 2022 and operates the Group’s financial product referral business.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 for the Restructuring</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shareholders’ equity interest percentages and shareholder rights of DSC Holdings Ltd. are the same as their interests in Souche Holdings Ltd. immediately before and after the Restructuring. Accordingly, the Group accounted for the Restructuring as a transaction between entities under common ownership, which is akin to a restructuring of entities under common control in a manner similar to a pooling of interests. Therefore, the accompanying unaudited interim condensed combined and consolidated financial statements of the Group include the assets, liabilities, revenue, expenses, and cash flows that are directly attributable to the Listing Businesses for all periods presented and are prepared as if the corporate structure of the Group upon the completion of the Restructuring had been in existence since the beginning of the periods presented.</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assets and liabilities are generally stated at historical carrying amounts. Those assets and liabilities that are specifically related to the Listing Businesses are included in the Group’s combined balance sheets. The Company’s equity structure was retrospectively adjusted with ordinary shares based on par value and the preferred shares based on their fair value on the Restructuring completion date for the periods prior to the completion of the Restructuring. The contribution from the Predecessor was presented as “Contribution from Predecessor” in the statements of changes in shareholders’ deficit.</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Group’s unaudited interim condensed combined and consolidated statements of comprehensive loss include all revenues, costs and expenses directly attributable to the Listing Businesses, including those expenses incurred by the Predecessor and its subsidiaries but relating solely to the Listing Businesses, reflecting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1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(continued)</w:t>
      </w:r>
    </w:p>
    <w:p>
      <w:pPr>
        <w:spacing w:after="0" w:line="135"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allocations of general corporate expense from the Predecessor primarily related to office rental expenses, office utilities, information technology support and certain corporate functions, including senior management, finance, legal and human resources and other shared expenses. The allocations were made on a direct usage basis when identifiable, with the remainder allocated based on the Group’s headcount as a proportion of the Predecessor’s total headcount. These allocations were made on a basis considered reasonable by management but may differ from actual costs which would have been incurred if the Group operated independently during the periods presented. The following tables set forth the sales and marketing expenses and general and administrative expenses allocated from/to the Predecessor for the six months ended June 30, 2022 and 2023:</w:t>
      </w:r>
    </w:p>
    <w:p>
      <w:pPr>
        <w:spacing w:after="0" w:line="208"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4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47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2"/>
                <w:szCs w:val="12"/>
                <w:color w:val="auto"/>
              </w:rPr>
            </w:pPr>
          </w:p>
        </w:tc>
      </w:tr>
      <w:tr>
        <w:trPr>
          <w:trHeight w:val="117"/>
        </w:trPr>
        <w:tc>
          <w:tcPr>
            <w:tcW w:w="47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4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4780" w:type="dxa"/>
            <w:vAlign w:val="bottom"/>
          </w:tcPr>
          <w:p>
            <w:pPr>
              <w:spacing w:after="0"/>
              <w:rPr>
                <w:sz w:val="15"/>
                <w:szCs w:val="15"/>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6,659</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12,365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1,705</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(1,714)</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4,320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4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4,945</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16,685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2,301</w:t>
            </w:r>
          </w:p>
        </w:tc>
      </w:tr>
      <w:tr>
        <w:trPr>
          <w:trHeight w:val="20"/>
        </w:trPr>
        <w:tc>
          <w:tcPr>
            <w:tcW w:w="4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the Restructuring, the Predecessor was the sole entity for equity financings. Cash proceeds from such equity financings were allocated on an as-needed basis between the Listing Businesses and other subsidiaries of the Predecessor. All cash allocations to the Listing Businesses were recorded as inter-company loans as opposed to capital contribution from the Predecessor. Some of these inter-company loans were waived subsequently and upon the Restructuring. As a result, the Group’s historical financial information may not be indicative of future results of operations, financial position, shareholders’ deficit and cash flows had the group operated as a stand-alone entity and contracted at arm’s length with unrelated parties for funding.</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 Variable interest entities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PRC laws and regulations restrict and impose condition on direct foreign investment in certain types of business including value-added telecommunication business. The Group operated certain businesses through its VIEs, Hangzhou Souche Network Technology Co., Ltd. and Beijing Peak Technology Co., Ltd., and the VIEs’ subsidiaries in order to comply with the laws and regulations of China. The Company, through its WFOEs in the PRC, entered into a series of contractual agreements (the “Contractual Arrangements”) with the shareholders of each VIE which give the WFOEs the power to direct the activities that most significantly affect the economic performance of the VIEs and receive substantially all economic benefits from the VIEs that potentially could be significant to the VIEs.</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Despite the lack of equity ownership, through the Contractual Arrangements, the nominee shareholders of the VIEs effectively assigned all of their voting rights underlying their equity interests in the VIEs to the applicable WFOEs, who immediately assigned related voting rights in the VIEs to the Company, which give the Company the power to direct the activities that most significantly impact the VIEs’ economic performance. In addition, through the other exclusive agreements, which consist of the voting proxy agreements, exclusive business cooperation agreements, exclusive equity interest option agreements, share pledge agreements, individual shareholder undertaking, spousal undertaking, financial support undertaking letter and proxy agreements, the Company, through its wholly-owned subsidiaries in the PRC, has the right to receive economic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55"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1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entities (continued)</w:t>
      </w:r>
    </w:p>
    <w:p>
      <w:pPr>
        <w:spacing w:after="0" w:line="13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benefits from the VIEs that potentially could be significant to the VIEs. Lastly, through the financial support undertaking letter, the Company has the obligation to absorb losses of the VIEs that could potentially be significant to the VIEs. Therefore, the Company is considered the primary beneficiary of the VIEs and consolidates the VIEs and their subsidiaries. Prior to the Restructuring, the shareholders of each VIE also entered into similar contractual arrangements with the Predecessor.</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Company’s opinion, (i) the ownership structures of the VIEs and the WFOEs in China, both currently and immediately after giving effect to this offering, are not in violation of applicable PRC laws and regulations currently in effect; (ii) the contractual arrangements among the WFOEs, VIEs and their shareholders governed by PRC law are currently valid and binding in accordance with the applicable PRC laws and regulations currently in effect and do not result in any violation of the applicable PRC laws or regulations currently in effect; and (iii) the voting proxy agreements between the Company and the WFOEs are not in violation of the articles of association of the Company and Cayman Islands Law.</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carrying amounts of the assets, liabilities of the VIEs and VIEs’ subsidiaries included in the Company’s unaudited interim condensed combined and consolidated balance sheets:</w:t>
      </w:r>
    </w:p>
    <w:p>
      <w:pPr>
        <w:spacing w:after="0" w:line="182"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17"/>
        </w:trPr>
        <w:tc>
          <w:tcPr>
            <w:tcW w:w="3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r>
      <w:tr>
        <w:trPr>
          <w:trHeight w:val="173"/>
        </w:trPr>
        <w:tc>
          <w:tcPr>
            <w:tcW w:w="3640" w:type="dxa"/>
            <w:vAlign w:val="bottom"/>
          </w:tcPr>
          <w:p>
            <w:pPr>
              <w:spacing w:after="0"/>
              <w:rPr>
                <w:sz w:val="15"/>
                <w:szCs w:val="15"/>
                <w:color w:val="auto"/>
              </w:rPr>
            </w:pPr>
          </w:p>
        </w:tc>
        <w:tc>
          <w:tcPr>
            <w:tcW w:w="2220" w:type="dxa"/>
            <w:vAlign w:val="bottom"/>
            <w:gridSpan w:val="2"/>
          </w:tcPr>
          <w:p>
            <w:pPr>
              <w:jc w:val="center"/>
              <w:ind w:left="129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117"/>
        </w:trPr>
        <w:tc>
          <w:tcPr>
            <w:tcW w:w="3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8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10"/>
                <w:szCs w:val="10"/>
                <w:color w:val="auto"/>
              </w:rPr>
            </w:pPr>
          </w:p>
        </w:tc>
      </w:tr>
      <w:tr>
        <w:trPr>
          <w:trHeight w:val="173"/>
        </w:trPr>
        <w:tc>
          <w:tcPr>
            <w:tcW w:w="3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40,655</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53,426</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7,368</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367</w:t>
            </w:r>
          </w:p>
        </w:tc>
        <w:tc>
          <w:tcPr>
            <w:tcW w:w="1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45,143</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40,440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5,577</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19,974</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13,997</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1,930</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6,562</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5,731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24,841</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32,802</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4,524</w:t>
            </w:r>
          </w:p>
        </w:tc>
      </w:tr>
      <w:tr>
        <w:trPr>
          <w:trHeight w:val="27"/>
        </w:trPr>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137,542</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146,396</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20,189</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1,367</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130,149</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115,784</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15,967</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2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19,955</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15,783</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2,177</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4,451</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4,126</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649,974</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649,974</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89,636</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8,686</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23,644</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3,261</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3,098</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3,187</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817,680</w:t>
            </w:r>
          </w:p>
        </w:tc>
        <w:tc>
          <w:tcPr>
            <w:tcW w:w="3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813,508</w:t>
            </w: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112,189</w:t>
            </w:r>
          </w:p>
        </w:tc>
        <w:tc>
          <w:tcPr>
            <w:tcW w:w="80" w:type="dxa"/>
            <w:vAlign w:val="bottom"/>
          </w:tcPr>
          <w:p>
            <w:pPr>
              <w:spacing w:after="0"/>
              <w:rPr>
                <w:sz w:val="20"/>
                <w:szCs w:val="20"/>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the entities within DSC</w:t>
            </w:r>
          </w:p>
        </w:tc>
        <w:tc>
          <w:tcPr>
            <w:tcW w:w="2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572,199</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472,157</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65,113</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1,527,421</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1,432,061</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197,491</w:t>
            </w:r>
          </w:p>
        </w:tc>
        <w:tc>
          <w:tcPr>
            <w:tcW w:w="8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2600" w:type="dxa"/>
            <w:vAlign w:val="bottom"/>
            <w:gridSpan w:val="3"/>
          </w:tcPr>
          <w:p>
            <w:pPr>
              <w:jc w:val="right"/>
              <w:ind w:right="1940"/>
              <w:spacing w:after="0"/>
              <w:rPr>
                <w:sz w:val="20"/>
                <w:szCs w:val="20"/>
                <w:color w:val="auto"/>
              </w:rPr>
            </w:pPr>
            <w:r>
              <w:rPr>
                <w:rFonts w:ascii="Times New Roman" w:cs="Times New Roman" w:eastAsia="Times New Roman" w:hAnsi="Times New Roman"/>
                <w:sz w:val="18"/>
                <w:szCs w:val="18"/>
                <w:color w:val="auto"/>
              </w:rPr>
              <w:t>F-58</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 Variable interest entities (continued)</w:t>
      </w:r>
    </w:p>
    <w:p>
      <w:pPr>
        <w:spacing w:after="0" w:line="128"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5020" w:type="dxa"/>
            <w:vAlign w:val="bottom"/>
          </w:tcPr>
          <w:p>
            <w:pPr>
              <w:spacing w:after="0"/>
              <w:rPr>
                <w:sz w:val="10"/>
                <w:szCs w:val="10"/>
                <w:color w:val="auto"/>
              </w:rPr>
            </w:pPr>
          </w:p>
        </w:tc>
        <w:tc>
          <w:tcPr>
            <w:tcW w:w="12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8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r>
      <w:tr>
        <w:trPr>
          <w:trHeight w:val="173"/>
        </w:trPr>
        <w:tc>
          <w:tcPr>
            <w:tcW w:w="50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r>
      <w:tr>
        <w:trPr>
          <w:trHeight w:val="117"/>
        </w:trPr>
        <w:tc>
          <w:tcPr>
            <w:tcW w:w="502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4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6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5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loans</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30,000</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30,000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4,137</w:t>
            </w: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6,075</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11,179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 and customer advance</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21,533</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19,224</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2,651</w:t>
            </w: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4,343</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2,352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2,101</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2,879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132,779</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149,006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20,549</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196,831</w:t>
            </w:r>
          </w:p>
        </w:tc>
        <w:tc>
          <w:tcPr>
            <w:tcW w:w="4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214,640</w:t>
            </w:r>
          </w:p>
        </w:tc>
        <w:tc>
          <w:tcPr>
            <w:tcW w:w="4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29,600</w:t>
            </w:r>
          </w:p>
        </w:tc>
        <w:tc>
          <w:tcPr>
            <w:tcW w:w="60" w:type="dxa"/>
            <w:vAlign w:val="bottom"/>
          </w:tcPr>
          <w:p>
            <w:pPr>
              <w:spacing w:after="0"/>
              <w:rPr>
                <w:sz w:val="20"/>
                <w:szCs w:val="20"/>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3,014</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5,363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41,291</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40,385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5,569</w:t>
            </w: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4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1,099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5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46,113</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46,847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6,461</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the entities within DSC</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634,850</w:t>
            </w:r>
          </w:p>
        </w:tc>
        <w:tc>
          <w:tcPr>
            <w:tcW w:w="4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541,070</w:t>
            </w:r>
          </w:p>
        </w:tc>
        <w:tc>
          <w:tcPr>
            <w:tcW w:w="4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74,617</w:t>
            </w:r>
          </w:p>
        </w:tc>
        <w:tc>
          <w:tcPr>
            <w:tcW w:w="60" w:type="dxa"/>
            <w:vAlign w:val="bottom"/>
          </w:tcPr>
          <w:p>
            <w:pPr>
              <w:spacing w:after="0"/>
              <w:rPr>
                <w:sz w:val="20"/>
                <w:szCs w:val="20"/>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877,794</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802,557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110,678</w:t>
            </w:r>
          </w:p>
        </w:tc>
      </w:tr>
      <w:tr>
        <w:trPr>
          <w:trHeight w:val="20"/>
        </w:trPr>
        <w:tc>
          <w:tcPr>
            <w:tcW w:w="5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results of operations and cash flows of the VIEs and VIEs’ subsidiaries included in the Company’s combined and consolidated statements of comprehensive loss and cash flows.</w:t>
      </w:r>
    </w:p>
    <w:p>
      <w:pPr>
        <w:spacing w:after="0" w:line="182"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center"/>
              <w:ind w:left="3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lef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r>
      <w:tr>
        <w:trPr>
          <w:trHeight w:val="117"/>
        </w:trPr>
        <w:tc>
          <w:tcPr>
            <w:tcW w:w="4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40" w:type="dxa"/>
            <w:vAlign w:val="bottom"/>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r>
      <w:tr>
        <w:trPr>
          <w:trHeight w:val="173"/>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5"/>
                <w:szCs w:val="15"/>
                <w:color w:val="auto"/>
              </w:rPr>
            </w:pPr>
          </w:p>
        </w:tc>
        <w:tc>
          <w:tcPr>
            <w:tcW w:w="11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8"/>
        </w:trPr>
        <w:tc>
          <w:tcPr>
            <w:tcW w:w="4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Revenues (including revenues from related parties of RMB24,360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RMB37,732 (US$5,203) for the six months ended June 30,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and 2023, respectively)</w:t>
            </w:r>
          </w:p>
        </w:tc>
        <w:tc>
          <w:tcPr>
            <w:tcW w:w="12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112,785</w:t>
            </w:r>
          </w:p>
        </w:tc>
        <w:tc>
          <w:tcPr>
            <w:tcW w:w="122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159,984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22,063</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 and operating expenses</w:t>
            </w: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(163,893)</w:t>
            </w:r>
          </w:p>
        </w:tc>
        <w:tc>
          <w:tcPr>
            <w:tcW w:w="12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(157,433)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(21,711)</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(56,858)</w:t>
            </w:r>
          </w:p>
        </w:tc>
        <w:tc>
          <w:tcPr>
            <w:tcW w:w="12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(31,011)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(4,277)</w:t>
            </w:r>
          </w:p>
        </w:tc>
      </w:tr>
      <w:tr>
        <w:trPr>
          <w:trHeight w:val="392"/>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498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r>
      <w:tr>
        <w:trPr>
          <w:trHeight w:val="117"/>
        </w:trPr>
        <w:tc>
          <w:tcPr>
            <w:tcW w:w="4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80" w:type="dxa"/>
            <w:vAlign w:val="bottom"/>
            <w:gridSpan w:val="2"/>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r>
      <w:tr>
        <w:trPr>
          <w:trHeight w:val="173"/>
        </w:trPr>
        <w:tc>
          <w:tcPr>
            <w:tcW w:w="4980" w:type="dxa"/>
            <w:vAlign w:val="bottom"/>
          </w:tcPr>
          <w:p>
            <w:pPr>
              <w:spacing w:after="0"/>
              <w:rPr>
                <w:sz w:val="15"/>
                <w:szCs w:val="15"/>
                <w:color w:val="auto"/>
              </w:rPr>
            </w:pPr>
          </w:p>
        </w:tc>
        <w:tc>
          <w:tcPr>
            <w:tcW w:w="122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operating activities</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(58,736)</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7,681</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(27,602)</w:t>
            </w:r>
          </w:p>
        </w:tc>
        <w:tc>
          <w:tcPr>
            <w:tcW w:w="380" w:type="dxa"/>
            <w:vAlign w:val="bottom"/>
          </w:tcPr>
          <w:p>
            <w:pPr>
              <w:spacing w:after="0"/>
              <w:rPr>
                <w:sz w:val="18"/>
                <w:szCs w:val="18"/>
                <w:color w:val="auto"/>
              </w:rPr>
            </w:pPr>
          </w:p>
        </w:tc>
        <w:tc>
          <w:tcPr>
            <w:tcW w:w="12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(77,496)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(10,687)</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78,811</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82,586</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11,389</w:t>
            </w:r>
          </w:p>
        </w:tc>
      </w:tr>
      <w:tr>
        <w:trPr>
          <w:trHeight w:val="365"/>
        </w:trPr>
        <w:tc>
          <w:tcPr>
            <w:tcW w:w="498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F-59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17"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1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Variable interest entities (continued)</w:t>
      </w:r>
    </w:p>
    <w:p>
      <w:pPr>
        <w:spacing w:after="0" w:line="13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the assets, liabilities, results of operations and cash flows of the VIEs and their subsidiaries are presented in aggregate due to the similarity of the purpose and design of the VIEs and their subsidiaries, the nature of the assets in these VIEs and their subsidiaries and the type of the involvement of the Company in these VIEs and their subsidiaries.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None of the VIEs’ assets are pledged or collateralized for the VIE’s obligations and which can only be used to settle the VIE’s obligations as of December 31, 2022 and June 30, 2023. The amount of the net assets of the VIEs was RMB649,627 and RMB629,504 (US$86,813) as of December 31, 2022 and June 30, 2023, respectively. The VIEs’ third- party creditors did not have recourse to the general credit of the Company in the normal course of business. The Company did not provide or intend to provide financial or other support not previously contractually required to the VIEs and VIEs’ subsidiaries during the periods presented.</w:t>
      </w:r>
    </w:p>
    <w:p>
      <w:pPr>
        <w:spacing w:after="0" w:line="287" w:lineRule="exact"/>
        <w:rPr>
          <w:sz w:val="20"/>
          <w:szCs w:val="20"/>
          <w:color w:val="auto"/>
        </w:rPr>
      </w:pPr>
    </w:p>
    <w:p>
      <w:pPr>
        <w:ind w:left="560" w:right="6160" w:hanging="444"/>
        <w:spacing w:after="0" w:line="377" w:lineRule="auto"/>
        <w:tabs>
          <w:tab w:leader="none" w:pos="30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unaudited interim condensed combined and consolidated financial statements were prepared on the same basis as the audited combined financial statements for the year ended December 31, 2022 and, in the opinion of management, reflect all normal recurring adjustments necessary to present a fair statement of the results for the interim periods presented, but do not include all disclosures required by U.S. GAAP for annual financial statements. These unaudited interim condensed combined and consolidated financial statements should be read in conjunction with the Company’s combined financial statements for the year ended December 31, 2022. Results for the six months ended June 30, 2023 are not necessarily indicative of the results expected for the full fiscal year or for any future period.</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As disclosed in Note 1(b), the Company completed its Restructuring in June 2023 in order to establish the Company as the parent company of the Listing Businesses. The Restructuring was accounted for under common ownership. Standalone financial statements have not been historically prepared for the Company’s Listing Businesses. Prior to the completion of the Restructuring, there was no controlling financial interest present between or among the entities that comprise the Company’s Listing Businesses and the Group prepared its financial statement on a combined basis. Upon the completion of the Restructuring in June 2023, the Company prepared its unaudited interim condensed combined and consolidated financial statements for the six months ended June 30, 2022 and 2023 retrospectively to reflect the historical results of the Listing Businesses. Such basis of preparation is consistent with that adopted in the preparation of the Company’s combined financial statements for the year ended December 31, 2022.</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Amounts in U.S. dollars are presented for the convenience of the reader and are translated at the noon buying rate of RMB7.2513 per US$1.00 on June 30, 2023 as published on the website of the Board of Governors of the Federal Reserve System. No representation is made that the RMB amounts could have been, or could be, converted into US$ at such 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40"/>
          </w:cols>
          <w:pgMar w:left="320" w:top="455" w:right="4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Fair value accounting is applied for all financial assets and liabilities and non-financial assets and liabilities that are recognized or disclosed at fair value in the combined and consolidated financial statements on a recurring basis (at least annually) in accordance with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and Disclosures </w:t>
      </w:r>
      <w:r>
        <w:rPr>
          <w:rFonts w:ascii="Times New Roman" w:cs="Times New Roman" w:eastAsia="Times New Roman" w:hAnsi="Times New Roman"/>
          <w:sz w:val="18"/>
          <w:szCs w:val="18"/>
          <w:color w:val="auto"/>
        </w:rPr>
        <w:t>(“ASC 820”). ASC 820 established a fair value hierarchy for instruments measured at fair value that distinguishes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assumptions based on market data (observable inputs) and the Group’s own assumptions (unobservable inputs). Observable inputs are inputs that market participants would use in pricing the asset or liability based on market data obtained from independent sources. Unobservable inputs are inputs that reflect the Group’s assumptions about the inputs that market participants would use in pricing the assets or liability and are developed based on the best information available in the circumstances. Fair value is the price that would be received to sell an asset or paid to transfer a liability, in an orderly transaction between market participants at the measurement date. The Group uses a three-tiered fair value hierarchy, which prioritizes the inputs used in the valuation methodologies in measuring fair value:</w:t>
      </w:r>
    </w:p>
    <w:p>
      <w:pPr>
        <w:spacing w:after="0" w:line="215" w:lineRule="exact"/>
        <w:rPr>
          <w:sz w:val="20"/>
          <w:szCs w:val="20"/>
          <w:color w:val="auto"/>
        </w:rPr>
      </w:pPr>
    </w:p>
    <w:p>
      <w:pPr>
        <w:ind w:left="560"/>
        <w:spacing w:after="0"/>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-119380</wp:posOffset>
            </wp:positionV>
            <wp:extent cx="6711950" cy="1371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711950" cy="137160"/>
                    </a:xfrm>
                    <a:prstGeom prst="rect">
                      <a:avLst/>
                    </a:prstGeom>
                    <a:noFill/>
                  </pic:spPr>
                </pic:pic>
              </a:graphicData>
            </a:graphic>
          </wp:anchor>
        </w:drawing>
      </w:r>
    </w:p>
    <w:p>
      <w:pPr>
        <w:spacing w:after="0" w:line="7" w:lineRule="exact"/>
        <w:rPr>
          <w:sz w:val="20"/>
          <w:szCs w:val="20"/>
          <w:color w:val="auto"/>
        </w:rPr>
      </w:pPr>
    </w:p>
    <w:p>
      <w:pPr>
        <w:ind w:left="560"/>
        <w:spacing w:after="0"/>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 active markets that are either directly or indirectly observable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5715</wp:posOffset>
            </wp:positionV>
            <wp:extent cx="6711950" cy="1371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711950" cy="137160"/>
                    </a:xfrm>
                    <a:prstGeom prst="rect">
                      <a:avLst/>
                    </a:prstGeom>
                    <a:noFill/>
                  </pic:spPr>
                </pic:pic>
              </a:graphicData>
            </a:graphic>
          </wp:anchor>
        </w:drawing>
      </w:r>
    </w:p>
    <w:p>
      <w:pPr>
        <w:ind w:left="560"/>
        <w:spacing w:after="0"/>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data</w:t>
      </w:r>
    </w:p>
    <w:p>
      <w:pPr>
        <w:spacing w:after="0" w:line="20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Group’s financial instruments primarily consist of cash and cash equivalents, restricted cash, accounts receivable, amounts due from and due to related parties, other receivables, short-term bank borrowings, accounts payable and certain amount of accrued expenses and other liabilities whose carrying values approximate fair value due to the short-term nature of those instruments. The Group did not have any assets or liabilities measured and recorded at fair value on a non-recurring basis as of December 31, 2022 and June 30, 2023.</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primary components of the Group’s revenues for the six months ended June 30, 2022 and 2023:</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22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50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17"/>
        </w:trPr>
        <w:tc>
          <w:tcPr>
            <w:tcW w:w="504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4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40" w:type="dxa"/>
            <w:vAlign w:val="bottom"/>
          </w:tcPr>
          <w:p>
            <w:pPr>
              <w:spacing w:after="0"/>
              <w:rPr>
                <w:sz w:val="10"/>
                <w:szCs w:val="10"/>
                <w:color w:val="auto"/>
              </w:rPr>
            </w:pPr>
          </w:p>
        </w:tc>
        <w:tc>
          <w:tcPr>
            <w:tcW w:w="760" w:type="dxa"/>
            <w:vAlign w:val="bottom"/>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504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Digitalization solutions</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66,249</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75,204</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10,370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142,478</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278,373</w:t>
            </w:r>
          </w:p>
        </w:tc>
        <w:tc>
          <w:tcPr>
            <w:tcW w:w="44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38,390</w:t>
            </w:r>
          </w:p>
        </w:tc>
      </w:tr>
      <w:tr>
        <w:trPr>
          <w:trHeight w:val="27"/>
        </w:trPr>
        <w:tc>
          <w:tcPr>
            <w:tcW w:w="50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208,727</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353,577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48,760</w:t>
            </w:r>
          </w:p>
        </w:tc>
      </w:tr>
      <w:tr>
        <w:trPr>
          <w:trHeight w:val="20"/>
        </w:trPr>
        <w:tc>
          <w:tcPr>
            <w:tcW w:w="5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Group’s contract liabilities were mainly related to prepaid subscription fees for its SaaS subscription services to be provided over the contract period, and advances received for inspection services and digitization solutions and presented as “Contract liabilities and customer advance” on the combined and consolidated balance sheets. Contract liabilities balances were RMB50,748 and RMB53,425 (US$7,368) as of December 31, 2022 and June 30, 2023, respectively. Revenue recognized for the six months ended June 30, 2023 that was included in contract liabilities at the beginning of the period was RMB21,751 (US$3,000).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40"/>
          </w:cols>
          <w:pgMar w:left="320" w:top="455" w:right="4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4900" w:hanging="444"/>
        <w:spacing w:after="0" w:line="278" w:lineRule="auto"/>
        <w:tabs>
          <w:tab w:leader="none" w:pos="300" w:val="left"/>
        </w:tabs>
        <w:numPr>
          <w:ilvl w:val="0"/>
          <w:numId w:val="1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(CONTINUED) </w:t>
      </w:r>
      <w:r>
        <w:rPr>
          <w:rFonts w:ascii="Times New Roman" w:cs="Times New Roman" w:eastAsia="Times New Roman" w:hAnsi="Times New Roman"/>
          <w:sz w:val="17"/>
          <w:szCs w:val="17"/>
          <w:b w:val="1"/>
          <w:bCs w:val="1"/>
          <w:i w:val="1"/>
          <w:iCs w:val="1"/>
          <w:color w:val="auto"/>
        </w:rPr>
        <w:t>Contract assets and contract liabilities (continued)</w:t>
      </w:r>
    </w:p>
    <w:p>
      <w:pPr>
        <w:spacing w:after="0" w:line="1"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2022 and June 30, 2023, contract assets were RMB39,762 and RMB65,475 (US$9,029), respectively. The allowance for</w:t>
      </w:r>
    </w:p>
    <w:p>
      <w:pPr>
        <w:spacing w:after="0" w:line="9"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credit losses on contract assets was RMB784 and RMB761 (US$105) as of December 31, 2022 and June 30, 2023, respectively. The amounts charged to expenses for credit losses on contract assets were RMB65 and RMB(23) (US$(3)) for the six months ended June 30, 2022 and 2023, respectively. No write-offs were charged against the allowance for the six months ended June 30, 2022 and 2023.</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ACCOUNTS RECEIVABLE,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Accounts receivable and expected credit losses as of December 31, 2022 and June 30, 2023 are as follows:</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740" w:type="dxa"/>
            <w:vAlign w:val="bottom"/>
          </w:tcPr>
          <w:p>
            <w:pPr>
              <w:spacing w:after="0"/>
              <w:rPr>
                <w:sz w:val="10"/>
                <w:szCs w:val="10"/>
                <w:color w:val="auto"/>
              </w:rPr>
            </w:pPr>
          </w:p>
        </w:tc>
        <w:tc>
          <w:tcPr>
            <w:tcW w:w="14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47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r>
      <w:tr>
        <w:trPr>
          <w:trHeight w:val="117"/>
        </w:trPr>
        <w:tc>
          <w:tcPr>
            <w:tcW w:w="474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r>
      <w:tr>
        <w:trPr>
          <w:trHeight w:val="173"/>
        </w:trPr>
        <w:tc>
          <w:tcPr>
            <w:tcW w:w="4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120,230</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104,198</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(14,861)</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(19,358)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(2,670)</w:t>
            </w:r>
          </w:p>
        </w:tc>
      </w:tr>
      <w:tr>
        <w:trPr>
          <w:trHeight w:val="27"/>
        </w:trPr>
        <w:tc>
          <w:tcPr>
            <w:tcW w:w="4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105,369</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84,840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11,700</w:t>
            </w:r>
          </w:p>
        </w:tc>
      </w:tr>
      <w:tr>
        <w:trPr>
          <w:trHeight w:val="20"/>
        </w:trPr>
        <w:tc>
          <w:tcPr>
            <w:tcW w:w="4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roll-forward of the allowance for credit losses related to accounts receivable for the six months ended June 30, 2022 and 2023 consists of the following activity: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8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80" w:type="dxa"/>
            <w:vAlign w:val="bottom"/>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640" w:type="dxa"/>
            <w:vAlign w:val="bottom"/>
            <w:tcBorders>
              <w:right w:val="single" w:sz="8" w:color="CCEEFF"/>
            </w:tcBorders>
            <w:gridSpan w:val="5"/>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8,884</w:t>
            </w:r>
          </w:p>
        </w:tc>
        <w:tc>
          <w:tcPr>
            <w:tcW w:w="12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14,861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6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3,919</w:t>
            </w: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4,500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w:t>
            </w:r>
          </w:p>
        </w:tc>
        <w:tc>
          <w:tcPr>
            <w:tcW w:w="2640" w:type="dxa"/>
            <w:vAlign w:val="bottom"/>
            <w:tcBorders>
              <w:right w:val="single" w:sz="8" w:color="CCEEFF"/>
            </w:tcBorders>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(147)</w:t>
            </w:r>
          </w:p>
        </w:tc>
        <w:tc>
          <w:tcPr>
            <w:tcW w:w="12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12,656</w:t>
            </w:r>
          </w:p>
        </w:tc>
        <w:tc>
          <w:tcPr>
            <w:tcW w:w="4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19,358</w:t>
            </w:r>
          </w:p>
        </w:tc>
        <w:tc>
          <w:tcPr>
            <w:tcW w:w="4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80" w:type="dxa"/>
            <w:vAlign w:val="bottom"/>
            <w:gridSpan w:val="4"/>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100" w:type="dxa"/>
            <w:vAlign w:val="bottom"/>
            <w:gridSpan w:val="3"/>
          </w:tcPr>
          <w:p>
            <w:pPr>
              <w:jc w:val="center"/>
              <w:ind w:left="11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6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40" w:type="dxa"/>
            <w:vAlign w:val="bottom"/>
            <w:gridSpan w:val="2"/>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00" w:type="dxa"/>
            <w:vAlign w:val="bottom"/>
            <w:gridSpan w:val="2"/>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receivables in the auction service</w:t>
            </w:r>
            <w:r>
              <w:rPr>
                <w:rFonts w:ascii="Times New Roman" w:cs="Times New Roman" w:eastAsia="Times New Roman" w:hAnsi="Times New Roman"/>
                <w:sz w:val="25"/>
                <w:szCs w:val="25"/>
                <w:color w:val="auto"/>
                <w:vertAlign w:val="superscript"/>
              </w:rPr>
              <w:t>(i)</w:t>
            </w:r>
          </w:p>
        </w:tc>
        <w:tc>
          <w:tcPr>
            <w:tcW w:w="2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23,910</w:t>
            </w: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29,106</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2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29,914</w:t>
            </w:r>
          </w:p>
        </w:tc>
        <w:tc>
          <w:tcPr>
            <w:tcW w:w="4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25,402</w:t>
            </w:r>
          </w:p>
        </w:tc>
        <w:tc>
          <w:tcPr>
            <w:tcW w:w="4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9,196</w:t>
            </w: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9,447</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Deductible value added tax (“VAT”)</w:t>
            </w:r>
          </w:p>
        </w:tc>
        <w:tc>
          <w:tcPr>
            <w:tcW w:w="2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3,597</w:t>
            </w:r>
          </w:p>
        </w:tc>
        <w:tc>
          <w:tcPr>
            <w:tcW w:w="4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3,829</w:t>
            </w:r>
          </w:p>
        </w:tc>
        <w:tc>
          <w:tcPr>
            <w:tcW w:w="4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2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16,319</w:t>
            </w: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36,471</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15,146</w:t>
            </w:r>
          </w:p>
        </w:tc>
        <w:tc>
          <w:tcPr>
            <w:tcW w:w="4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22,232</w:t>
            </w:r>
          </w:p>
        </w:tc>
        <w:tc>
          <w:tcPr>
            <w:tcW w:w="4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98,082</w:t>
            </w: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126,487</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17,443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40" w:type="dxa"/>
            <w:vAlign w:val="bottom"/>
            <w:gridSpan w:val="5"/>
          </w:tcPr>
          <w:p>
            <w:pPr>
              <w:jc w:val="right"/>
              <w:ind w:right="1980"/>
              <w:spacing w:after="0"/>
              <w:rPr>
                <w:sz w:val="20"/>
                <w:szCs w:val="20"/>
                <w:color w:val="auto"/>
              </w:rPr>
            </w:pPr>
            <w:r>
              <w:rPr>
                <w:rFonts w:ascii="Times New Roman" w:cs="Times New Roman" w:eastAsia="Times New Roman" w:hAnsi="Times New Roman"/>
                <w:sz w:val="18"/>
                <w:szCs w:val="18"/>
                <w:color w:val="auto"/>
              </w:rPr>
              <w:t>F-62</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7715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7" w:lineRule="exact"/>
        <w:rPr>
          <w:sz w:val="20"/>
          <w:szCs w:val="20"/>
          <w:color w:val="auto"/>
        </w:rPr>
      </w:pPr>
    </w:p>
    <w:p>
      <w:pPr>
        <w:ind w:left="540" w:right="20" w:hanging="424"/>
        <w:spacing w:after="0" w:line="282"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primarily represent receivables from sellers of vehicles when auction transactions were canceled, whereby the Group first returns the gross selling price to the buyers on behalf of the original sellers.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roll-forward of the allowance for credit losses for the six months ended June 30, 2022 and 2023 consists of the following activity:</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314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5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2"/>
                <w:szCs w:val="12"/>
                <w:color w:val="auto"/>
              </w:rPr>
            </w:pPr>
          </w:p>
        </w:tc>
      </w:tr>
      <w:tr>
        <w:trPr>
          <w:trHeight w:val="117"/>
        </w:trPr>
        <w:tc>
          <w:tcPr>
            <w:tcW w:w="512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60" w:type="dxa"/>
            <w:vAlign w:val="bottom"/>
            <w:gridSpan w:val="2"/>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2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5120" w:type="dxa"/>
            <w:vAlign w:val="bottom"/>
          </w:tcPr>
          <w:p>
            <w:pPr>
              <w:spacing w:after="0"/>
              <w:rPr>
                <w:sz w:val="15"/>
                <w:szCs w:val="15"/>
                <w:color w:val="auto"/>
              </w:rPr>
            </w:pPr>
          </w:p>
        </w:tc>
        <w:tc>
          <w:tcPr>
            <w:tcW w:w="12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12,572</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15,207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2,097</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3,682</w:t>
            </w:r>
          </w:p>
        </w:tc>
        <w:tc>
          <w:tcPr>
            <w:tcW w:w="4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w:t>
            </w: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(2,500)</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15,442</w:t>
            </w:r>
          </w:p>
        </w:tc>
        <w:tc>
          <w:tcPr>
            <w:tcW w:w="4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2,130</w:t>
            </w:r>
          </w:p>
        </w:tc>
        <w:tc>
          <w:tcPr>
            <w:tcW w:w="6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Group’s unaudited interim condensed combined and consolidated financial statements include costs and expenses allocated from the Predecessor for periods prior to the Restructuring, amounted to RMB4,945 and RMB16,685 (US$2,301) for the six months ended June 30, 2022 and 2023, respectively. See Note 1(b) for more detailed information. In addition, most of the historical financing conducted before the Restructuring and the proceeds from the historical financing transactions were held by the Predecessor, which then funded the Group’s operations through interest-free loans to the Company and its operating entities.</w:t>
      </w:r>
    </w:p>
    <w:p>
      <w:pPr>
        <w:spacing w:after="0" w:line="89" w:lineRule="exact"/>
        <w:rPr>
          <w:sz w:val="20"/>
          <w:szCs w:val="20"/>
          <w:color w:val="auto"/>
        </w:rPr>
      </w:pPr>
    </w:p>
    <w:p>
      <w:pPr>
        <w:ind w:left="1080" w:hanging="358"/>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the major related parties and their relationships with the Group:</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the related parties</w:t>
            </w: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r>
      <w:tr>
        <w:trPr>
          <w:trHeight w:val="185"/>
        </w:trPr>
        <w:tc>
          <w:tcPr>
            <w:tcW w:w="16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Predecessor</w:t>
            </w:r>
          </w:p>
        </w:tc>
        <w:tc>
          <w:tcPr>
            <w:tcW w:w="4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Souche Holding Ltd. or entities controlled by Souche Holdings</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Guotai Dasouche (Tianjin) Financial Leasing Co., Ltd. (“Guotai Dasouche”)</w:t>
            </w: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Equity method investee of the Predecessor</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Alipay. com Co., Ltd. (“Alipay”)</w:t>
            </w: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Affiliate of a Group’s principal shareholder</w:t>
            </w: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Changji Technology Co., Ltd. (“Guangzhou Changji”)</w:t>
            </w: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Equity method investee</w:t>
            </w:r>
          </w:p>
        </w:tc>
      </w:tr>
      <w:tr>
        <w:trPr>
          <w:trHeight w:val="364"/>
        </w:trPr>
        <w:tc>
          <w:tcPr>
            <w:tcW w:w="1660" w:type="dxa"/>
            <w:vAlign w:val="bottom"/>
          </w:tcPr>
          <w:p>
            <w:pPr>
              <w:spacing w:after="0"/>
              <w:rPr>
                <w:sz w:val="24"/>
                <w:szCs w:val="24"/>
                <w:color w:val="auto"/>
              </w:rPr>
            </w:pPr>
          </w:p>
        </w:tc>
        <w:tc>
          <w:tcPr>
            <w:tcW w:w="41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F-63</w:t>
            </w: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300" w:hanging="184"/>
        <w:spacing w:after="0"/>
        <w:tabs>
          <w:tab w:leader="none" w:pos="30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(CONTINUED)</w:t>
      </w:r>
    </w:p>
    <w:p>
      <w:pPr>
        <w:spacing w:after="0" w:line="134" w:lineRule="exact"/>
        <w:rPr>
          <w:rFonts w:ascii="Times New Roman" w:cs="Times New Roman" w:eastAsia="Times New Roman" w:hAnsi="Times New Roman"/>
          <w:sz w:val="18"/>
          <w:szCs w:val="18"/>
          <w:b w:val="1"/>
          <w:bCs w:val="1"/>
          <w:color w:val="auto"/>
        </w:rPr>
      </w:pPr>
    </w:p>
    <w:p>
      <w:pPr>
        <w:ind w:left="760" w:hanging="204"/>
        <w:spacing w:after="0"/>
        <w:tabs>
          <w:tab w:leader="none" w:pos="7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the following transactions with the major related parties:</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31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 services provided to:</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Guotai Dasouche</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3,771</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70,390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9,707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Predecessor</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21,763</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3,870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Guangzhou Changji </w:t>
            </w:r>
            <w:r>
              <w:rPr>
                <w:rFonts w:ascii="Times New Roman" w:cs="Times New Roman" w:eastAsia="Times New Roman" w:hAnsi="Times New Roman"/>
                <w:sz w:val="25"/>
                <w:szCs w:val="25"/>
                <w:color w:val="auto"/>
                <w:vertAlign w:val="superscript"/>
              </w:rPr>
              <w:t>(i)</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(1,740)</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23,794</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73,132</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10,085</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Services received from:</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Guotai Dasouche</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Predecessor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10,377</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615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negative revenue resulting from excess rebates paid over revenue earned.</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The Group had the following related party balances with the major related parties:</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5060" w:type="dxa"/>
            <w:vAlign w:val="bottom"/>
          </w:tcPr>
          <w:p>
            <w:pPr>
              <w:spacing w:after="0"/>
              <w:rPr>
                <w:sz w:val="10"/>
                <w:szCs w:val="10"/>
                <w:color w:val="auto"/>
              </w:rPr>
            </w:pPr>
          </w:p>
        </w:tc>
        <w:tc>
          <w:tcPr>
            <w:tcW w:w="126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6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r>
      <w:tr>
        <w:trPr>
          <w:trHeight w:val="173"/>
        </w:trPr>
        <w:tc>
          <w:tcPr>
            <w:tcW w:w="50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r>
      <w:tr>
        <w:trPr>
          <w:trHeight w:val="117"/>
        </w:trPr>
        <w:tc>
          <w:tcPr>
            <w:tcW w:w="506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2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2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5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current:</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Predecessor</w:t>
            </w:r>
            <w:r>
              <w:rPr>
                <w:rFonts w:ascii="Times New Roman" w:cs="Times New Roman" w:eastAsia="Times New Roman" w:hAnsi="Times New Roman"/>
                <w:sz w:val="25"/>
                <w:szCs w:val="25"/>
                <w:color w:val="auto"/>
                <w:vertAlign w:val="superscript"/>
              </w:rPr>
              <w:t>(i)</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75,288</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68,055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9,385</w:t>
            </w:r>
          </w:p>
        </w:tc>
      </w:tr>
      <w:tr>
        <w:trPr>
          <w:trHeight w:val="216"/>
        </w:trPr>
        <w:tc>
          <w:tcPr>
            <w:tcW w:w="5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Guotai Dasouche</w:t>
            </w:r>
            <w:r>
              <w:rPr>
                <w:rFonts w:ascii="Times New Roman" w:cs="Times New Roman" w:eastAsia="Times New Roman" w:hAnsi="Times New Roman"/>
                <w:sz w:val="25"/>
                <w:szCs w:val="25"/>
                <w:color w:val="auto"/>
                <w:vertAlign w:val="superscript"/>
              </w:rPr>
              <w:t>(ii)</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16,632</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19,936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2,749</w:t>
            </w:r>
          </w:p>
        </w:tc>
      </w:tr>
      <w:tr>
        <w:trPr>
          <w:trHeight w:val="216"/>
        </w:trPr>
        <w:tc>
          <w:tcPr>
            <w:tcW w:w="5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Alipay</w:t>
            </w:r>
            <w:r>
              <w:rPr>
                <w:rFonts w:ascii="Times New Roman" w:cs="Times New Roman" w:eastAsia="Times New Roman" w:hAnsi="Times New Roman"/>
                <w:sz w:val="25"/>
                <w:szCs w:val="25"/>
                <w:color w:val="auto"/>
                <w:vertAlign w:val="superscript"/>
              </w:rPr>
              <w:t>(iii)</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508</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1,352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235</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92,663</w:t>
            </w:r>
          </w:p>
        </w:tc>
        <w:tc>
          <w:tcPr>
            <w:tcW w:w="4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89,796</w:t>
            </w:r>
          </w:p>
        </w:tc>
        <w:tc>
          <w:tcPr>
            <w:tcW w:w="4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12,383</w:t>
            </w:r>
          </w:p>
        </w:tc>
        <w:tc>
          <w:tcPr>
            <w:tcW w:w="6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non-current:</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Predecessor</w:t>
            </w:r>
            <w:r>
              <w:rPr>
                <w:rFonts w:ascii="Times New Roman" w:cs="Times New Roman" w:eastAsia="Times New Roman" w:hAnsi="Times New Roman"/>
                <w:sz w:val="25"/>
                <w:szCs w:val="25"/>
                <w:color w:val="auto"/>
                <w:vertAlign w:val="superscript"/>
              </w:rPr>
              <w:t>(iv)</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67,102</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99,745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13,755</w:t>
            </w:r>
          </w:p>
        </w:tc>
      </w:tr>
      <w:tr>
        <w:trPr>
          <w:trHeight w:val="27"/>
        </w:trPr>
        <w:tc>
          <w:tcPr>
            <w:tcW w:w="50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67,102</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99,745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13,755</w:t>
            </w:r>
          </w:p>
        </w:tc>
      </w:tr>
      <w:tr>
        <w:trPr>
          <w:trHeight w:val="20"/>
        </w:trPr>
        <w:tc>
          <w:tcPr>
            <w:tcW w:w="5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61" w:lineRule="auto"/>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mainly represent amounts due from the Predecessor for transaction services, such as delivery services, used car inspection and certification services and other management and administrative support services.</w:t>
      </w:r>
    </w:p>
    <w:p>
      <w:pPr>
        <w:ind w:left="540" w:hanging="424"/>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mainly represent amounts due from Guotai Dasouche for financial product referral services provided.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mainly represent amounts due from the online payment platform operated by Alipay.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 amounts arising from non-trade interest-free loans lent to the Predecessor.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55" w:right="4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RELATED PARTY TRANSACTIONS (CONTINUED)</w:t>
      </w:r>
    </w:p>
    <w:p>
      <w:pPr>
        <w:spacing w:after="0" w:line="128"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34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6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00" w:type="dxa"/>
            <w:vAlign w:val="bottom"/>
            <w:gridSpan w:val="2"/>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2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current:</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Predecessor</w:t>
            </w:r>
            <w:r>
              <w:rPr>
                <w:rFonts w:ascii="Times New Roman" w:cs="Times New Roman" w:eastAsia="Times New Roman" w:hAnsi="Times New Roman"/>
                <w:sz w:val="25"/>
                <w:szCs w:val="25"/>
                <w:color w:val="auto"/>
                <w:vertAlign w:val="superscript"/>
              </w:rPr>
              <w:t>(i)</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580</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15,500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Guotai Dasouche</w:t>
            </w:r>
            <w:r>
              <w:rPr>
                <w:rFonts w:ascii="Times New Roman" w:cs="Times New Roman" w:eastAsia="Times New Roman" w:hAnsi="Times New Roman"/>
                <w:sz w:val="25"/>
                <w:szCs w:val="25"/>
                <w:color w:val="auto"/>
                <w:vertAlign w:val="superscript"/>
              </w:rPr>
              <w:t>(ii)</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30,056</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23,346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36,132</w:t>
            </w:r>
          </w:p>
        </w:tc>
        <w:tc>
          <w:tcPr>
            <w:tcW w:w="5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40,698</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5,613</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non-current: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Predecessor</w:t>
            </w:r>
            <w:r>
              <w:rPr>
                <w:rFonts w:ascii="Times New Roman" w:cs="Times New Roman" w:eastAsia="Times New Roman" w:hAnsi="Times New Roman"/>
                <w:sz w:val="25"/>
                <w:szCs w:val="25"/>
                <w:color w:val="auto"/>
                <w:vertAlign w:val="superscript"/>
              </w:rPr>
              <w:t>(i)</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225,576</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430,908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59,425</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225,576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430,908</w:t>
            </w:r>
          </w:p>
        </w:tc>
        <w:tc>
          <w:tcPr>
            <w:tcW w:w="5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 amounts arising from non-trade interest-free loans provided by the Predecessor.</w:t>
      </w:r>
    </w:p>
    <w:p>
      <w:pPr>
        <w:spacing w:after="0" w:line="27"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mainly represent amounts arising from non-trade loans due to Guotai Dasouche at 8% interest rate with an original term of 12 months. The Group pledged its equity interests in certain operating subsidiaries to Guotai Dasouche in connection with the foregoing loans.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LONG-TERM INVESTMENTS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Group’s long-term investments consist of the following:</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138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r>
      <w:tr>
        <w:trPr>
          <w:trHeight w:val="173"/>
        </w:trPr>
        <w:tc>
          <w:tcPr>
            <w:tcW w:w="48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4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4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(unaudited)</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Equity-method investments</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12,454</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9,283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using the measurement alternative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5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1,036</w:t>
            </w:r>
          </w:p>
        </w:tc>
      </w:tr>
      <w:tr>
        <w:trPr>
          <w:trHeight w:val="27"/>
        </w:trPr>
        <w:tc>
          <w:tcPr>
            <w:tcW w:w="4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19,967</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16,796</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2,316</w:t>
            </w:r>
          </w:p>
        </w:tc>
      </w:tr>
      <w:tr>
        <w:trPr>
          <w:trHeight w:val="20"/>
        </w:trPr>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six months ended June 30, 2022 and 2023, no impairment losses were recognized for long-term investments.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SHORT-TERM LOANS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Short-term loans as of December 31, 2022 and June 30, 2023 amounted to RMB70,000 and RMB70,000 (US$9,653), respectively, which primarily consisted of borrowings from financial institutions in the PRC that are repayable within one year. The loan carried interest at 4.85% per annum and is guaranteed by a subsidiary of the Predecessor.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30" w:lineRule="exact"/>
        <w:rPr>
          <w:sz w:val="20"/>
          <w:szCs w:val="20"/>
          <w:color w:val="auto"/>
        </w:rPr>
      </w:pPr>
    </w:p>
    <w:p>
      <w:pPr>
        <w:ind w:left="560" w:right="5740" w:hanging="444"/>
        <w:spacing w:after="0" w:line="412" w:lineRule="auto"/>
        <w:tabs>
          <w:tab w:leader="none" w:pos="30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ACCRUED EXPENSES AND OTHER CURRENT LIABILITIES </w:t>
      </w:r>
      <w:r>
        <w:rPr>
          <w:rFonts w:ascii="Times New Roman" w:cs="Times New Roman" w:eastAsia="Times New Roman" w:hAnsi="Times New Roman"/>
          <w:sz w:val="18"/>
          <w:szCs w:val="18"/>
          <w:color w:val="auto"/>
        </w:rPr>
        <w:t>Accrued expenses and other liabilities consist of the following:</w:t>
      </w:r>
    </w:p>
    <w:p>
      <w:pPr>
        <w:spacing w:after="0" w:line="72" w:lineRule="exact"/>
        <w:rPr>
          <w:sz w:val="20"/>
          <w:szCs w:val="20"/>
          <w:color w:val="auto"/>
        </w:rPr>
      </w:pPr>
    </w:p>
    <w:tbl>
      <w:tblPr>
        <w:tblLayout w:type="fixed"/>
        <w:tblInd w:w="150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17"/>
        </w:trPr>
        <w:tc>
          <w:tcPr>
            <w:tcW w:w="4880" w:type="dxa"/>
            <w:vAlign w:val="bottom"/>
          </w:tcPr>
          <w:p>
            <w:pPr>
              <w:spacing w:after="0"/>
              <w:rPr>
                <w:sz w:val="10"/>
                <w:szCs w:val="10"/>
                <w:color w:val="auto"/>
              </w:rPr>
            </w:pPr>
          </w:p>
        </w:tc>
        <w:tc>
          <w:tcPr>
            <w:tcW w:w="13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6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r>
      <w:tr>
        <w:trPr>
          <w:trHeight w:val="117"/>
        </w:trPr>
        <w:tc>
          <w:tcPr>
            <w:tcW w:w="488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0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2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 deposits</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58,573</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63,084</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8,700</w:t>
            </w:r>
          </w:p>
        </w:tc>
      </w:tr>
      <w:tr>
        <w:trPr>
          <w:trHeight w:val="216"/>
        </w:trPr>
        <w:tc>
          <w:tcPr>
            <w:tcW w:w="4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 payables in the auction services</w:t>
            </w:r>
            <w:r>
              <w:rPr>
                <w:rFonts w:ascii="Times New Roman" w:cs="Times New Roman" w:eastAsia="Times New Roman" w:hAnsi="Times New Roman"/>
                <w:sz w:val="25"/>
                <w:szCs w:val="25"/>
                <w:color w:val="auto"/>
                <w:vertAlign w:val="superscript"/>
              </w:rPr>
              <w:t>(i)</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25,228</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27,418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3,781</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welfare payables</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33,488</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28,847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3,978</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25,283</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26,545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3,661</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payables</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14,685</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14,498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4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Others</w:t>
            </w:r>
            <w:r>
              <w:rPr>
                <w:rFonts w:ascii="Times New Roman" w:cs="Times New Roman" w:eastAsia="Times New Roman" w:hAnsi="Times New Roman"/>
                <w:sz w:val="25"/>
                <w:szCs w:val="25"/>
                <w:color w:val="auto"/>
                <w:vertAlign w:val="superscript"/>
              </w:rPr>
              <w:t>(ii)</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48,639</w:t>
            </w:r>
          </w:p>
        </w:tc>
        <w:tc>
          <w:tcPr>
            <w:tcW w:w="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6,705</w:t>
            </w:r>
          </w:p>
        </w:tc>
      </w:tr>
      <w:tr>
        <w:trPr>
          <w:trHeight w:val="27"/>
        </w:trPr>
        <w:tc>
          <w:tcPr>
            <w:tcW w:w="48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195,732</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209,031</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28,824</w:t>
            </w:r>
          </w:p>
        </w:tc>
      </w:tr>
      <w:tr>
        <w:trPr>
          <w:trHeight w:val="20"/>
        </w:trPr>
        <w:tc>
          <w:tcPr>
            <w:tcW w:w="4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0" w:hanging="424"/>
        <w:spacing w:after="0" w:line="282"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payables represent the sales price of the vehicles for completed auction transactions collected by the Group on behalf of the sellers, which will be subsequently settled with the sellers or the payments that need to be refunded to the buyers for cancelled auction transactions.</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the guarantee liability related to the used car inspection and certification services, included in “Others”, was RMB7,661 and RMB8,577 (US$1,183) as of December 31, 2022 and June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SHARES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Restructuring (Note 1(b)), the Company issued in aggregate 783,438,378 Series A-1, A-2, B, D, D-1, E-1, E-2, E-3, and F redeemable convertible preferred shares at par value (collectively the “Preferred Shares”) to the same group of investors of the Predecessor in the form of the same series of preferred shares such that each shareholders’ rights and equity interest in the Company was identical to their rights and equity interest in the Predecessor. The Restructuring was accounted for as a transaction under common ownership, and therefore the Preferred Shares are recorded at fair value on the date that the Restructuring was completed, which is determined with the assistance from an independent third-party valuation firm, and presented on a retrospective basis for the periods prior to the Restructuring.</w:t>
      </w:r>
    </w:p>
    <w:p>
      <w:pPr>
        <w:spacing w:after="0" w:line="18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Preferred Shares are not currently redeemable, but it is probable that the Preferred Shares will become redeemable. Subsequent to the Restructuring in June 2023, the Group elected to recognize the changes in redemption value based on the contractual redemption terms immediately as they occur and adjust the carrying amount of the Preferred Shares to equal the redemption value at the end of each reporting period. The Group recognized accretion charges as an increase to the net loss attributable to ordinary shareholders of DSC Holdings Ltd. No dividends or other distributions have been made or declared in each of the periods presented. The liquidation preference amount was RMB7,930,304 (US$1,093,639) as of June 30, 2023.</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40"/>
          </w:cols>
          <w:pgMar w:left="320" w:top="455" w:right="4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30" w:lineRule="exact"/>
        <w:rPr>
          <w:sz w:val="20"/>
          <w:szCs w:val="20"/>
          <w:color w:val="auto"/>
        </w:rPr>
      </w:pPr>
    </w:p>
    <w:p>
      <w:pPr>
        <w:ind w:left="560" w:right="7960" w:hanging="444"/>
        <w:spacing w:after="0" w:line="400" w:lineRule="auto"/>
        <w:tabs>
          <w:tab w:leader="none" w:pos="389" w:val="left"/>
        </w:tabs>
        <w:numPr>
          <w:ilvl w:val="0"/>
          <w:numId w:val="2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b w:val="1"/>
          <w:bCs w:val="1"/>
          <w:i w:val="1"/>
          <w:iCs w:val="1"/>
          <w:color w:val="auto"/>
        </w:rPr>
        <w:t>Employee option awards</w:t>
      </w: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Share options issued by the Predecessor</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completion of the Restructuring in June 2023, the Company’s employees received employee option awards under the Predecessor’s share option plans (the Predecessor’s Plan). Options granted under the Predecessor’s Plan generally vest over a period of four years, with 25% of the total shares vesting on first-, second-, third-, and fourth anniversaries of the vesting commencement date as long as grantees remain employed by the Predecessor or an affiliated company. In May 2020, the Predecessor granted 1,444,448 warrants to certain key employees of Beijing Yunyang as share-based awards for their services subsequent to the acquisition. The warrants vest ratably over 4-years and require the grantees to remain employed by the Predecessor. Further, all grantees are restricted from exercising any options and warrants granted until the completion of the Predecessor’s qualified IPO. The following table presents the activities related to Yunyang warrants and options under the Predecessor’s Plan granted to the Company’s employees during the six-months ended June 30, 2023.</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5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4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34,571,031</w:t>
            </w: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0.34</w:t>
            </w: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0.61</w:t>
            </w:r>
          </w:p>
        </w:tc>
        <w:tc>
          <w:tcPr>
            <w:tcW w:w="11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9.57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21,026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46,751</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0.95</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0.77</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(1,586,453)</w:t>
            </w: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0.44</w:t>
            </w: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0.49</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prior to the Restructuring date</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33,031,329</w:t>
            </w:r>
          </w:p>
        </w:tc>
        <w:tc>
          <w:tcPr>
            <w:tcW w:w="460" w:type="dxa"/>
            <w:vAlign w:val="bottom"/>
          </w:tcPr>
          <w:p>
            <w:pPr>
              <w:spacing w:after="0"/>
              <w:rPr>
                <w:sz w:val="19"/>
                <w:szCs w:val="19"/>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0.34</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0.62</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9.26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10,176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2023</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33,031,329</w:t>
            </w:r>
          </w:p>
        </w:tc>
        <w:tc>
          <w:tcPr>
            <w:tcW w:w="122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0.06</w:t>
            </w:r>
            <w:r>
              <w:rPr>
                <w:rFonts w:ascii="Times New Roman" w:cs="Times New Roman" w:eastAsia="Times New Roman" w:hAnsi="Times New Roman"/>
                <w:sz w:val="25"/>
                <w:szCs w:val="25"/>
                <w:color w:val="auto"/>
                <w:vertAlign w:val="superscript"/>
              </w:rPr>
              <w:t>(1)</w:t>
            </w:r>
          </w:p>
        </w:tc>
        <w:tc>
          <w:tcPr>
            <w:tcW w:w="122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0.11</w:t>
            </w:r>
            <w:r>
              <w:rPr>
                <w:rFonts w:ascii="Times New Roman" w:cs="Times New Roman" w:eastAsia="Times New Roman" w:hAnsi="Times New Roman"/>
                <w:sz w:val="25"/>
                <w:szCs w:val="25"/>
                <w:color w:val="auto"/>
                <w:vertAlign w:val="superscript"/>
              </w:rPr>
              <w:t>(1)</w:t>
            </w:r>
          </w:p>
        </w:tc>
        <w:tc>
          <w:tcPr>
            <w:tcW w:w="11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9.26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June 30, 2023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33,031,329</w:t>
            </w:r>
          </w:p>
        </w:tc>
        <w:tc>
          <w:tcPr>
            <w:tcW w:w="460" w:type="dxa"/>
            <w:vAlign w:val="bottom"/>
          </w:tcPr>
          <w:p>
            <w:pPr>
              <w:spacing w:after="0"/>
              <w:rPr>
                <w:sz w:val="19"/>
                <w:szCs w:val="19"/>
                <w:color w:val="auto"/>
              </w:rPr>
            </w:pPr>
          </w:p>
        </w:tc>
        <w:tc>
          <w:tcPr>
            <w:tcW w:w="1220" w:type="dxa"/>
            <w:vAlign w:val="bottom"/>
            <w:gridSpan w:val="2"/>
          </w:tcPr>
          <w:p>
            <w:pPr>
              <w:ind w:left="320"/>
              <w:spacing w:after="0" w:line="223" w:lineRule="exact"/>
              <w:rPr>
                <w:sz w:val="20"/>
                <w:szCs w:val="20"/>
                <w:color w:val="auto"/>
              </w:rPr>
            </w:pPr>
            <w:r>
              <w:rPr>
                <w:rFonts w:ascii="Times New Roman" w:cs="Times New Roman" w:eastAsia="Times New Roman" w:hAnsi="Times New Roman"/>
                <w:sz w:val="17"/>
                <w:szCs w:val="17"/>
                <w:color w:val="auto"/>
              </w:rPr>
              <w:t>0.06</w:t>
            </w:r>
            <w:r>
              <w:rPr>
                <w:rFonts w:ascii="Times New Roman" w:cs="Times New Roman" w:eastAsia="Times New Roman" w:hAnsi="Times New Roman"/>
                <w:sz w:val="25"/>
                <w:szCs w:val="25"/>
                <w:color w:val="auto"/>
                <w:vertAlign w:val="superscript"/>
              </w:rPr>
              <w:t>(1)</w:t>
            </w:r>
          </w:p>
        </w:tc>
        <w:tc>
          <w:tcPr>
            <w:tcW w:w="1220" w:type="dxa"/>
            <w:vAlign w:val="bottom"/>
            <w:gridSpan w:val="2"/>
          </w:tcPr>
          <w:p>
            <w:pPr>
              <w:ind w:left="320"/>
              <w:spacing w:after="0" w:line="223" w:lineRule="exact"/>
              <w:rPr>
                <w:sz w:val="20"/>
                <w:szCs w:val="20"/>
                <w:color w:val="auto"/>
              </w:rPr>
            </w:pPr>
            <w:r>
              <w:rPr>
                <w:rFonts w:ascii="Times New Roman" w:cs="Times New Roman" w:eastAsia="Times New Roman" w:hAnsi="Times New Roman"/>
                <w:sz w:val="17"/>
                <w:szCs w:val="17"/>
                <w:color w:val="auto"/>
              </w:rPr>
              <w:t>0.11</w:t>
            </w:r>
            <w:r>
              <w:rPr>
                <w:rFonts w:ascii="Times New Roman" w:cs="Times New Roman" w:eastAsia="Times New Roman" w:hAnsi="Times New Roman"/>
                <w:sz w:val="25"/>
                <w:szCs w:val="25"/>
                <w:color w:val="auto"/>
                <w:vertAlign w:val="superscript"/>
              </w:rPr>
              <w:t>(1)</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9.26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June 30, 2023</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82"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and grant-date fair value was adjusted based on the relative fair value of the Predecessor and the Company upon the issuance of the options under the Company’s 2023 Plan in connection with the Restructuring.</w:t>
      </w:r>
    </w:p>
    <w:p>
      <w:pPr>
        <w:spacing w:after="0" w:line="26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options issued by the Company</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Restructuring, the Company adopted a new share option plan (the “2023 Plan”) to mirror the Predecessor’s Plan. The Predecessor’s Plan contained mandatory equitable adjustment provisions for grantees and as a result each of the Company’s and Predecessor’s employees received the same number of options under the 2023 Plan as the number of options they held under the Predecessor’s plan on the Restructuring Date. The Company also issued the same number of warrants to certain key employees of Beijing Yunyang to mirror their warrants then outstanding held in the Predecessor upon the Restructuring. Accordingly, the Company issued 33,031,329 and 27,977,274 options under the 2023 Plan to both the Company’s and Predecessor’s employees, respectively, on the Restructuring date. Options granted under the 2023 Plan as part of the Restructuring allowed the Company’s and Predecessor’s employee to continue vesting in the awards as long as they remained employed by either the DSC Group or the Predecessor. The fair value and exercise prices of the Company’s grants awarded in connection with the Restructuring were adjusted based on the relative fair values of the Company and the Predecessor on the Restructuring date. The options and warrants granted under the 2023 Plan as part of the Restructuring contained the same vesting schedule as the corresponding awards under the Predecessor’s Plans, as well as the IPO performance condition. The Company estimated the fair value of the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40"/>
          </w:cols>
          <w:pgMar w:left="320" w:top="455" w:right="4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560" w:right="6700" w:hanging="444"/>
        <w:spacing w:after="0" w:line="400" w:lineRule="auto"/>
        <w:tabs>
          <w:tab w:leader="none" w:pos="389" w:val="left"/>
        </w:tabs>
        <w:numPr>
          <w:ilvl w:val="0"/>
          <w:numId w:val="2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(CONTINUED) </w:t>
      </w:r>
      <w:r>
        <w:rPr>
          <w:rFonts w:ascii="Times New Roman" w:cs="Times New Roman" w:eastAsia="Times New Roman" w:hAnsi="Times New Roman"/>
          <w:sz w:val="17"/>
          <w:szCs w:val="17"/>
          <w:b w:val="1"/>
          <w:bCs w:val="1"/>
          <w:i w:val="1"/>
          <w:iCs w:val="1"/>
          <w:color w:val="auto"/>
        </w:rPr>
        <w:t>Employee option awards (continued)</w:t>
      </w: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Share options issued by the Company (continued)</w:t>
      </w:r>
    </w:p>
    <w:p>
      <w:pPr>
        <w:spacing w:after="0" w:line="13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equity awards granted by the Predecessor’s Plan and the 2023 Plan with the assistance of an independent third-party valuation firm and concluded there was no incremental share-based compensation expense to be recognized as of the Restructuring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activities under the 2023 Plan for grants, awards and forfeitures during the six-months ended June 30, 2023.</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4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4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Option awards issued to the Company’s employees as part of</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33,031,329</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0.28</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0.51</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 awards issued to the Predecessor’s employees as part of</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27,977,274</w:t>
            </w: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0.21</w:t>
            </w: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0.47</w:t>
            </w: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(90,369)</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0.48</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0.38</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2023</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60,918,234</w:t>
            </w: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0.25</w:t>
            </w: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0.49</w:t>
            </w: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9.26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16,483</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June 30,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60,918,234</w:t>
            </w:r>
          </w:p>
        </w:tc>
        <w:tc>
          <w:tcPr>
            <w:tcW w:w="5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0.25</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0.49</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9.26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16,483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June 30, 2023</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Options granted to employees are accounted for as equity awards and measured at their grant date fair values. Share-based compensation expenses related to options granted to the Company’s employees under both the Predecessor’s Plan and the 2023 Plan granted are attributed to the Company and will be recognized as the service and performance based vesting conditions are achieved or become probable of being achieved. As the IPO condition constituted a performance condition that was not considered probable until completion, the Company did not recognize any compensation expenses for options granted to its employees under either plan during the periods presented. The share options granted to employees of the Predecessor were accounted for as deemed dividend from the Company to its shareholders, as these employees provided service solely to the Predecessor.</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on the dates of grant using the binomial option pricing model with the following assumptions:</w:t>
      </w:r>
    </w:p>
    <w:p>
      <w:pPr>
        <w:spacing w:after="0" w:line="182" w:lineRule="exact"/>
        <w:rPr>
          <w:sz w:val="20"/>
          <w:szCs w:val="20"/>
          <w:color w:val="auto"/>
        </w:rPr>
      </w:pPr>
    </w:p>
    <w:tbl>
      <w:tblPr>
        <w:tblLayout w:type="fixed"/>
        <w:tblInd w:w="1500" w:type="dxa"/>
        <w:tblCellMar>
          <w:top w:w="0" w:type="dxa"/>
          <w:left w:w="0" w:type="dxa"/>
          <w:bottom w:w="0" w:type="dxa"/>
          <w:right w:w="0" w:type="dxa"/>
        </w:tblCellMar>
      </w:tblPr>
      <w:tr>
        <w:trPr>
          <w:trHeight w:val="187"/>
        </w:trPr>
        <w:tc>
          <w:tcPr>
            <w:tcW w:w="586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an underlying Ordinary Share (US$)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bl>
    <w:p>
      <w:pPr>
        <w:spacing w:after="0" w:line="17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June 30, 2023, the unrecognized share-based compensation expenses attributed to the Company from both the Predecessor’s Plan and the 2023 Plan were RMB119,813 (US$16,523). The total unrecognized compensation cost may be adjusted for actual forfeitures occurring in the future.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40"/>
          </w:cols>
          <w:pgMar w:left="320" w:top="455" w:right="4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30" w:lineRule="exact"/>
        <w:rPr>
          <w:sz w:val="20"/>
          <w:szCs w:val="20"/>
          <w:color w:val="auto"/>
        </w:rPr>
      </w:pPr>
    </w:p>
    <w:p>
      <w:pPr>
        <w:ind w:left="560" w:right="7320" w:hanging="444"/>
        <w:spacing w:after="0" w:line="378" w:lineRule="auto"/>
        <w:tabs>
          <w:tab w:leader="none" w:pos="38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u w:val="single" w:color="auto"/>
          <w:color w:val="auto"/>
        </w:rPr>
        <w:t>Contingencies</w:t>
      </w: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such as legal proceedings and claims arising out of its business, which are mainly related to Group’s non-execution of certain contracts signed with customers. Liabilities for contingencies are recorded when it is probable that a liability has been incurred and the amount of the assessment can be reasonably estimated. If the assessment indicates that a potential loss contingency is not probable, but is reasonably possible, or is probable but cannot be estimated, then the nature of the contingent liability, together with an estimate of the range of possible loss, if determinable and material, would be disclosed. The Company has accrued RMB5,463 (US$753) in the combined and consolidated balance sheets as of June 30, 2023.</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commitment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did not have any material commitments for fixed asset purchases as of June 30, 2023.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lease payments under lease liabilities as of June 30, 2023 were as follows:</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six months of 2023</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19,195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2,647</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10,271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9,871</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1,361</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7,440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4,363</w:t>
            </w:r>
          </w:p>
        </w:tc>
      </w:tr>
      <w:tr>
        <w:trPr>
          <w:trHeight w:val="27"/>
        </w:trPr>
        <w:tc>
          <w:tcPr>
            <w:tcW w:w="6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future lease payments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94,707</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13,060</w:t>
            </w:r>
          </w:p>
        </w:tc>
      </w:tr>
      <w:tr>
        <w:trPr>
          <w:trHeight w:val="20"/>
        </w:trPr>
        <w:tc>
          <w:tcPr>
            <w:tcW w:w="6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incorporated in the Cayman Islands and conducts its primary business operations through the subsidiaries and VIEs in the PRC. It also has intermediate holding companies in British Virgin Islands (“BVI”) and Hong Kong. Under the current laws of the Cayman Islands, the Company is not subject to tax on income or capital gains. Additionally, upon payment of dividends by the Company to its shareholders, no Cayman Islands withholding tax will be imposed. Under the BVI tax laws, subsidiaries in the BVI are exempted from income tax on their foreign-derived income in the BVI and there are no withholding taxes in the BVI. Under the Hong Kong tax laws, subsidiaries in Hong Kong are subject to the Hong Kong profits tax rate at 16.5% and the Group did not make any provisions for Hong Kong profit tax as there were no assessable profits derived from or earned in Hong Kong for any of the periods presented and there are no withholding taxes in Hong Kong.</w:t>
      </w:r>
    </w:p>
    <w:p>
      <w:pPr>
        <w:spacing w:after="0" w:line="189"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Under the PRC Enterprise Income Tax (“EIT”) Law, which has been effective since January 1, 2008, domestic enterprises and Foreign Investment Enterprises (the “FIEs”) are subject to a unified 25% enterprise income tax rate, except for certain entities that are entitled to preferential tax treatments.</w:t>
      </w:r>
    </w:p>
    <w:p>
      <w:pPr>
        <w:spacing w:after="0" w:line="14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Group’s effective tax rates were (0.20%) and (3.03%) for the six months ended June 30, 2022 and 2023, respectively. The effective tax rates were lower than the PRC statutory EIT rate of 25% for the six months ended June 30, 2022 and 2023 mainly because PRC entities file separate tax returns and most subsidiaries and VIEs were in an accumulated loss position.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 (CONTINUED)</w:t>
      </w:r>
    </w:p>
    <w:p>
      <w:pPr>
        <w:spacing w:after="0" w:line="13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As of June 30, 2023, the Group had unrecognized tax benefits of RMB69,761 (US$9,620), of which RMB65,744 (US$9,066) were deducted against the deferred tax assets on tax losses carried forward, and the remaining amounts of RMB4,017 (US$554) were presented as “other non-current liabilities” in the combined and consolidated balance sheets. It is possible that the amount of unrecognized benefits will change in the next 12 months; however, an estimate of the range of the possible change cannot be made at this moment. As of June 30, 2023, there was RMB4,017 (US$554) of unrecognized tax benefits that if recognized would impact the annual effective tax rate. The Group recorded nil and RMB455 (US$63) interest related to uncertain tax position for each of the six months ended June 30, 2022 and 2023, respectively. The Group did not record any penalties related to uncertain tax position.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LOSS PER SHARE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computing the basic and diluted loss per share, the effect of the Restructuring (Note 1(b)) was accounted for in a manner similar to a stock split or stock dividend which was accounted for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Thus, the number of the ordinary shares and preferred shares issued upon the Restructuring by the Company was retrospectively included since the beginning of the earliest period presented.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each of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38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six months ended December 31,</w:t>
            </w:r>
          </w:p>
        </w:tc>
      </w:tr>
      <w:tr>
        <w:trPr>
          <w:trHeight w:val="142"/>
        </w:trPr>
        <w:tc>
          <w:tcPr>
            <w:tcW w:w="71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r>
      <w:tr>
        <w:trPr>
          <w:trHeight w:val="117"/>
        </w:trPr>
        <w:tc>
          <w:tcPr>
            <w:tcW w:w="716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r>
      <w:tr>
        <w:trPr>
          <w:trHeight w:val="173"/>
        </w:trPr>
        <w:tc>
          <w:tcPr>
            <w:tcW w:w="716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DSC Holdings Ltd.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(256,066)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(106,879)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(14,740)</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the Company’s preferred shares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(5,781,394)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(797,291)</w:t>
            </w: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DSC Holdings Ltd.</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(256,066)</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(5,888,273)</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(812,031)</w:t>
            </w:r>
          </w:p>
        </w:tc>
        <w:tc>
          <w:tcPr>
            <w:tcW w:w="14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outstanding—Basic and diluted</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136,159,402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136,159,402</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136,159,402</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share—basic and diluted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(43.25)</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r>
    </w:tbl>
    <w:p>
      <w:pPr>
        <w:spacing w:after="0" w:line="19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periods presented, net loss was not allocated to the convertible preferred shares as they do not have contractual obligation to share in the losses of the Group. The computation also excluded the effects of all outstanding options, warrants and the Preferred Shares as their inclusion would be anti-dilutive for all periods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RESTRICTED NET ASSETS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Group’s entities in the PRC are required under PRC laws to allocate at least 10% of its annual after-tax profits each year, if any, to a general reserve fund until such reserve funds reach 50% of their registered capital. The statutory reserve funds are not distributable either in the form of dividends, loans, or advances. As of December 31, 2022 and June 30, 2023, restricted net assets of the Company’s PRC subsidiaries, the VIEs and the VIEs’ subsidiaries, as determined pursuant to PRC GAAP, were RMB845,638 and RMB820,073 (US$113,093),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55" w:right="4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COMBINED AND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 (“US$”))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October 30, 2023, which is the date the unaudited interim condensed combined and consolidated financial statements are issued.</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July 25, 2023, the Company granted 19,363,497 options under the 2023 Plan with similar vesting and exercising terms of the previously granted options.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[Under our post-offering amended and restated memorandum and articles of association, which will become effective immediately prior to the completion of this offering, to the fullest extent permissible under Cayman Islands law every director and officer of our company shall be indemnified against all actions, proceedings, costs, charges, expenses, losses, damages or liabilities incurred or sustained by him in connection with the execution or discharge of his duties, powers, authorities or discretions as a director or officer of our company, including without prejudice to the generality of the foregoing, any costs, expenses, losses or liabilities incurred by him in defending (whether successfully or otherwise) any civil proceedings concerning our company or its affairs in any court whether in the Cayman Islands or elsewhere.]</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form of indemnification agreements to be filed as Exhibit 10.2 to this Registration Statement, we will agree to indemnify our directors and executive officers against certain liabilities and expenses that they incur in connection with claims made by reason of their being a director or officer of our company.</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the form of which to be filed as Exhibit 1.1 to this Registration Statement, will also provide for indemnification of us and our officers and directors.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without registering the securities under the Securities Act. We believe that each of the following issuances was exempt from registration under the Securities Act in reliance on Regulation S under the Securities Act regarding sales by an issuer in offshore transactions, pursuant to Section 4(a)(2) of the Securities Act regarding transactions not involving a public offering and/or Rule 701 of the Securities Act. None of the transactions involved an underwriter.</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3680" w:type="dxa"/>
            <w:vAlign w:val="bottom"/>
            <w:vMerge w:val="restart"/>
          </w:tcPr>
          <w:p>
            <w:pPr>
              <w:spacing w:after="0"/>
              <w:rPr>
                <w:sz w:val="13"/>
                <w:szCs w:val="13"/>
                <w:color w:val="auto"/>
              </w:rPr>
            </w:pPr>
          </w:p>
        </w:tc>
        <w:tc>
          <w:tcPr>
            <w:tcW w:w="17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5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Title and Number of</w:t>
            </w:r>
          </w:p>
        </w:tc>
        <w:tc>
          <w:tcPr>
            <w:tcW w:w="2420" w:type="dxa"/>
            <w:vAlign w:val="bottom"/>
            <w:vMerge w:val="restart"/>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3"/>
        </w:trPr>
        <w:tc>
          <w:tcPr>
            <w:tcW w:w="640" w:type="dxa"/>
            <w:vAlign w:val="bottom"/>
            <w:tcBorders>
              <w:bottom w:val="single" w:sz="8" w:color="auto"/>
            </w:tcBorders>
            <w:vMerge w:val="continue"/>
          </w:tcPr>
          <w:p>
            <w:pPr>
              <w:spacing w:after="0"/>
              <w:rPr>
                <w:sz w:val="16"/>
                <w:szCs w:val="16"/>
                <w:color w:val="auto"/>
              </w:rPr>
            </w:pPr>
          </w:p>
        </w:tc>
        <w:tc>
          <w:tcPr>
            <w:tcW w:w="368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5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Ordinary Shares</w:t>
            </w: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Souche Holdings Ltd</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1, 2022</w:t>
            </w:r>
          </w:p>
        </w:tc>
        <w:tc>
          <w:tcPr>
            <w:tcW w:w="2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831,409,379 Ordinary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US$83,141</w:t>
            </w:r>
          </w:p>
        </w:tc>
        <w:tc>
          <w:tcPr>
            <w:tcW w:w="0" w:type="dxa"/>
            <w:vAlign w:val="bottom"/>
          </w:tcPr>
          <w:p>
            <w:pPr>
              <w:spacing w:after="0"/>
              <w:rPr>
                <w:sz w:val="1"/>
                <w:szCs w:val="1"/>
                <w:color w:val="auto"/>
              </w:rPr>
            </w:pPr>
          </w:p>
        </w:tc>
      </w:tr>
      <w:tr>
        <w:trPr>
          <w:trHeight w:val="198"/>
        </w:trPr>
        <w:tc>
          <w:tcPr>
            <w:tcW w:w="4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Ample Automotive Holdings Limited</w:t>
            </w:r>
          </w:p>
        </w:tc>
        <w:tc>
          <w:tcPr>
            <w:tcW w:w="176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May 5, 2023</w:t>
            </w:r>
          </w:p>
        </w:tc>
        <w:tc>
          <w:tcPr>
            <w:tcW w:w="252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1,253,395 Ordinary Shares</w:t>
            </w:r>
          </w:p>
        </w:tc>
        <w:tc>
          <w:tcPr>
            <w:tcW w:w="24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Exercise of the Warrant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Purchase 1,253,395 Ordinary</w:t>
            </w:r>
          </w:p>
        </w:tc>
        <w:tc>
          <w:tcPr>
            <w:tcW w:w="0" w:type="dxa"/>
            <w:vAlign w:val="bottom"/>
          </w:tcPr>
          <w:p>
            <w:pPr>
              <w:spacing w:after="0"/>
              <w:rPr>
                <w:sz w:val="1"/>
                <w:szCs w:val="1"/>
                <w:color w:val="auto"/>
              </w:rPr>
            </w:pPr>
          </w:p>
        </w:tc>
      </w:tr>
      <w:tr>
        <w:trPr>
          <w:trHeight w:val="234"/>
        </w:trPr>
        <w:tc>
          <w:tcPr>
            <w:tcW w:w="64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198"/>
        </w:trPr>
        <w:tc>
          <w:tcPr>
            <w:tcW w:w="4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Jiaheda Holdings Limited</w:t>
            </w:r>
          </w:p>
        </w:tc>
        <w:tc>
          <w:tcPr>
            <w:tcW w:w="17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May 5, 2023</w:t>
            </w:r>
          </w:p>
        </w:tc>
        <w:tc>
          <w:tcPr>
            <w:tcW w:w="25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940,046 Ordinary</w:t>
            </w:r>
          </w:p>
        </w:tc>
        <w:tc>
          <w:tcPr>
            <w:tcW w:w="2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Exercise of the Warrant to</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Purchase 940,046 Ordinary</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364"/>
        </w:trPr>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II-1</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440" w:type="dxa"/>
            <w:vAlign w:val="bottom"/>
            <w:vMerge w:val="restart"/>
          </w:tcPr>
          <w:p>
            <w:pPr>
              <w:spacing w:after="0"/>
              <w:rPr>
                <w:sz w:val="13"/>
                <w:szCs w:val="13"/>
                <w:color w:val="auto"/>
              </w:rPr>
            </w:pPr>
          </w:p>
        </w:tc>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5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Title and Number of</w:t>
            </w:r>
          </w:p>
        </w:tc>
        <w:tc>
          <w:tcPr>
            <w:tcW w:w="2420" w:type="dxa"/>
            <w:vAlign w:val="bottom"/>
            <w:vMerge w:val="restart"/>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3"/>
        </w:trPr>
        <w:tc>
          <w:tcPr>
            <w:tcW w:w="640" w:type="dxa"/>
            <w:vAlign w:val="bottom"/>
            <w:tcBorders>
              <w:bottom w:val="single" w:sz="8" w:color="auto"/>
            </w:tcBorders>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5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Preferred Shares</w:t>
            </w:r>
          </w:p>
        </w:tc>
        <w:tc>
          <w:tcPr>
            <w:tcW w:w="2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API (HONG KONG) INVESTMENT LIMITED</w:t>
            </w:r>
          </w:p>
        </w:tc>
        <w:tc>
          <w:tcPr>
            <w:tcW w:w="15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May 5, 2023</w:t>
            </w:r>
          </w:p>
        </w:tc>
        <w:tc>
          <w:tcPr>
            <w:tcW w:w="25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88,188,400 Series D preferred</w:t>
            </w:r>
          </w:p>
        </w:tc>
        <w:tc>
          <w:tcPr>
            <w:tcW w:w="2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Exercise of the Warrant to</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Purchase 88,188,400 Series D</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preferred shares</w:t>
            </w:r>
          </w:p>
        </w:tc>
        <w:tc>
          <w:tcPr>
            <w:tcW w:w="0" w:type="dxa"/>
            <w:vAlign w:val="bottom"/>
          </w:tcPr>
          <w:p>
            <w:pPr>
              <w:spacing w:after="0"/>
              <w:rPr>
                <w:sz w:val="1"/>
                <w:szCs w:val="1"/>
                <w:color w:val="auto"/>
              </w:rPr>
            </w:pPr>
          </w:p>
        </w:tc>
      </w:tr>
      <w:tr>
        <w:trPr>
          <w:trHeight w:val="211"/>
        </w:trPr>
        <w:tc>
          <w:tcPr>
            <w:tcW w:w="4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Cygnus Equity Sport II, L.P.</w:t>
            </w:r>
          </w:p>
        </w:tc>
        <w:tc>
          <w:tcPr>
            <w:tcW w:w="4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5, 2023  13,228,260 Series D-1 preferred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Exercise of the Warrant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shares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Purchase 13,228,260 Series D-1</w:t>
            </w:r>
          </w:p>
        </w:tc>
        <w:tc>
          <w:tcPr>
            <w:tcW w:w="0" w:type="dxa"/>
            <w:vAlign w:val="bottom"/>
          </w:tcPr>
          <w:p>
            <w:pPr>
              <w:spacing w:after="0"/>
              <w:rPr>
                <w:sz w:val="1"/>
                <w:szCs w:val="1"/>
                <w:color w:val="auto"/>
              </w:rPr>
            </w:pPr>
          </w:p>
        </w:tc>
      </w:tr>
      <w:tr>
        <w:trPr>
          <w:trHeight w:val="234"/>
        </w:trPr>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preferred shares</w:t>
            </w:r>
          </w:p>
        </w:tc>
        <w:tc>
          <w:tcPr>
            <w:tcW w:w="0" w:type="dxa"/>
            <w:vAlign w:val="bottom"/>
          </w:tcPr>
          <w:p>
            <w:pPr>
              <w:spacing w:after="0"/>
              <w:rPr>
                <w:sz w:val="1"/>
                <w:szCs w:val="1"/>
                <w:color w:val="auto"/>
              </w:rPr>
            </w:pPr>
          </w:p>
        </w:tc>
      </w:tr>
      <w:tr>
        <w:trPr>
          <w:trHeight w:val="198"/>
        </w:trPr>
        <w:tc>
          <w:tcPr>
            <w:tcW w:w="45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Sunshine Life Insurance Corporation Limited</w:t>
            </w:r>
          </w:p>
        </w:tc>
        <w:tc>
          <w:tcPr>
            <w:tcW w:w="15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May 5, 2023</w:t>
            </w:r>
          </w:p>
        </w:tc>
        <w:tc>
          <w:tcPr>
            <w:tcW w:w="25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6,895,887 Series F preferred</w:t>
            </w:r>
          </w:p>
        </w:tc>
        <w:tc>
          <w:tcPr>
            <w:tcW w:w="2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Exercise of the Warrant to</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Purchase 6,895,887 Series F</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preferred shares</w:t>
            </w:r>
          </w:p>
        </w:tc>
        <w:tc>
          <w:tcPr>
            <w:tcW w:w="0" w:type="dxa"/>
            <w:vAlign w:val="bottom"/>
          </w:tcPr>
          <w:p>
            <w:pPr>
              <w:spacing w:after="0"/>
              <w:rPr>
                <w:sz w:val="1"/>
                <w:szCs w:val="1"/>
                <w:color w:val="auto"/>
              </w:rPr>
            </w:pPr>
          </w:p>
        </w:tc>
      </w:tr>
      <w:tr>
        <w:trPr>
          <w:trHeight w:val="211"/>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CTZC Limited</w:t>
            </w: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21, 2023</w:t>
            </w:r>
          </w:p>
        </w:tc>
        <w:tc>
          <w:tcPr>
            <w:tcW w:w="2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24,422,238 Series G preferred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RMB300,000,000</w:t>
            </w:r>
          </w:p>
        </w:tc>
        <w:tc>
          <w:tcPr>
            <w:tcW w:w="0" w:type="dxa"/>
            <w:vAlign w:val="bottom"/>
          </w:tcPr>
          <w:p>
            <w:pPr>
              <w:spacing w:after="0"/>
              <w:rPr>
                <w:sz w:val="1"/>
                <w:szCs w:val="1"/>
                <w:color w:val="auto"/>
              </w:rPr>
            </w:pPr>
          </w:p>
        </w:tc>
      </w:tr>
      <w:tr>
        <w:trPr>
          <w:trHeight w:val="234"/>
        </w:trPr>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shares</w:t>
            </w:r>
          </w:p>
        </w:tc>
        <w:tc>
          <w:tcPr>
            <w:tcW w:w="2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Exhibits: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Exhibit Index for a complete list of all exhibits filed as part of this registration, which Exhibit Index is incorporated herein by reference.</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1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combined and consolidated financial statements and the notes thereto.</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hereby undertakes:</w:t>
      </w:r>
    </w:p>
    <w:p>
      <w:pPr>
        <w:spacing w:after="0" w:line="225" w:lineRule="exact"/>
        <w:rPr>
          <w:sz w:val="20"/>
          <w:szCs w:val="20"/>
          <w:color w:val="auto"/>
        </w:rPr>
      </w:pPr>
    </w:p>
    <w:p>
      <w:pPr>
        <w:ind w:left="120" w:right="20" w:firstLine="436"/>
        <w:spacing w:after="0" w:line="282" w:lineRule="auto"/>
        <w:tabs>
          <w:tab w:leader="none" w:pos="85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61" w:lineRule="exact"/>
        <w:rPr>
          <w:rFonts w:ascii="Times New Roman" w:cs="Times New Roman" w:eastAsia="Times New Roman" w:hAnsi="Times New Roman"/>
          <w:sz w:val="18"/>
          <w:szCs w:val="18"/>
          <w:color w:val="auto"/>
        </w:rPr>
      </w:pPr>
    </w:p>
    <w:p>
      <w:pPr>
        <w:jc w:val="both"/>
        <w:ind w:left="120" w:firstLine="436"/>
        <w:spacing w:after="0" w:line="254" w:lineRule="auto"/>
        <w:tabs>
          <w:tab w:leader="none" w:pos="81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00" w:hanging="244"/>
        <w:spacing w:after="0"/>
        <w:tabs>
          <w:tab w:leader="none" w:pos="8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rFonts w:ascii="Times New Roman" w:cs="Times New Roman" w:eastAsia="Times New Roman" w:hAnsi="Times New Roman"/>
          <w:sz w:val="18"/>
          <w:szCs w:val="18"/>
          <w:color w:val="auto"/>
        </w:rPr>
      </w:pPr>
    </w:p>
    <w:p>
      <w:pPr>
        <w:jc w:val="both"/>
        <w:ind w:left="1100" w:right="20" w:firstLine="408"/>
        <w:spacing w:after="0" w:line="261" w:lineRule="auto"/>
        <w:tabs>
          <w:tab w:leader="none" w:pos="176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71" w:lineRule="exact"/>
        <w:rPr>
          <w:rFonts w:ascii="Times New Roman" w:cs="Times New Roman" w:eastAsia="Times New Roman" w:hAnsi="Times New Roman"/>
          <w:sz w:val="18"/>
          <w:szCs w:val="18"/>
          <w:color w:val="auto"/>
        </w:rPr>
      </w:pPr>
    </w:p>
    <w:p>
      <w:pPr>
        <w:jc w:val="both"/>
        <w:ind w:left="1100" w:firstLine="408"/>
        <w:spacing w:after="0" w:line="266" w:lineRule="auto"/>
        <w:tabs>
          <w:tab w:leader="none" w:pos="1757"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0" w:type="dxa"/>
            <w:vAlign w:val="bottom"/>
          </w:tcPr>
          <w:p>
            <w:pPr>
              <w:jc w:val="center"/>
              <w:ind w:right="1136"/>
              <w:spacing w:after="0"/>
              <w:rPr>
                <w:sz w:val="20"/>
                <w:szCs w:val="20"/>
                <w:color w:val="auto"/>
              </w:rPr>
            </w:pPr>
            <w:r>
              <w:rPr>
                <w:rFonts w:ascii="Times New Roman" w:cs="Times New Roman" w:eastAsia="Times New Roman" w:hAnsi="Times New Roman"/>
                <w:sz w:val="18"/>
                <w:szCs w:val="18"/>
                <w:b w:val="1"/>
                <w:bCs w:val="1"/>
                <w:color w:val="auto"/>
                <w:w w:val="99"/>
              </w:rPr>
              <w:t>DSC HOLDINGS LTD.</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tcPr>
          <w:p>
            <w:pPr>
              <w:jc w:val="center"/>
              <w:ind w:right="1156"/>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24"/>
                <w:szCs w:val="24"/>
                <w:color w:val="auto"/>
              </w:rPr>
            </w:pPr>
          </w:p>
        </w:tc>
        <w:tc>
          <w:tcPr>
            <w:tcW w:w="9800" w:type="dxa"/>
            <w:vAlign w:val="bottom"/>
            <w:vMerge w:val="restart"/>
          </w:tcPr>
          <w:p>
            <w:pPr>
              <w:ind w:left="4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9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Second Amended and Restated Memorandum and Articles of Association of the Registrant, as currently in effect</w:t>
            </w:r>
          </w:p>
        </w:tc>
        <w:tc>
          <w:tcPr>
            <w:tcW w:w="0" w:type="dxa"/>
            <w:vAlign w:val="bottom"/>
          </w:tcPr>
          <w:p>
            <w:pPr>
              <w:spacing w:after="0"/>
              <w:rPr>
                <w:sz w:val="1"/>
                <w:szCs w:val="1"/>
                <w:color w:val="auto"/>
              </w:rPr>
            </w:pPr>
          </w:p>
        </w:tc>
      </w:tr>
      <w:tr>
        <w:trPr>
          <w:trHeight w:val="30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Amended and Restated Memorandum and Articles of Association of the Registrant, as effective immediately prior to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completion of this offering</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Registrant’s Specimen American Depositary Receipt (included in Exhibit 4.3)</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Registrant’s Specimen Certificate for Ordinary Shares</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Deposit Agreement between the Registrant, the depositary and holders of the American Depositary Shares</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Shareholders Agreement dated August 21, 2023 by and among DSC Holdings Ltd. and certain other parties as listed therein</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Opinion of Maples and Calder (Hong Kong) LLP regarding the validity of the ordinary shares being registered</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8.1*</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Opinion of Maples and Calder (Hong Kong) LLP regarding certain Cayman Island tax matters (included in Exhibit 5.1)</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8.2*</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Opinion of Haiwen &amp; Partners regarding certain PRC tax matters (included in Exhibit 99.2)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w:t>
            </w:r>
          </w:p>
        </w:tc>
        <w:tc>
          <w:tcPr>
            <w:tcW w:w="400" w:type="dxa"/>
            <w:vAlign w:val="bottom"/>
          </w:tcPr>
          <w:p>
            <w:pPr>
              <w:spacing w:after="0"/>
              <w:rPr>
                <w:sz w:val="24"/>
                <w:szCs w:val="24"/>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2023 Plan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24"/>
                <w:szCs w:val="24"/>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Indemnification Agreement with the Registrant’s directors and officers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24"/>
                <w:szCs w:val="24"/>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Employment Agreement between the Registrant and an executive officer of the Registrant</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10.4**</w:t>
            </w:r>
          </w:p>
        </w:tc>
        <w:tc>
          <w:tcPr>
            <w:tcW w:w="400" w:type="dxa"/>
            <w:vAlign w:val="bottom"/>
          </w:tcPr>
          <w:p>
            <w:pPr>
              <w:spacing w:after="0"/>
              <w:rPr>
                <w:sz w:val="24"/>
                <w:szCs w:val="24"/>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English translation of Exclusive Business Cooperation Agreement between Hangzhou Dasouche Information Technology Service Co.,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Ltd. and Hangzhou Souche Network Technology Co., Ltd. dated May 16, 2023</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10.5**</w:t>
            </w:r>
          </w:p>
        </w:tc>
        <w:tc>
          <w:tcPr>
            <w:tcW w:w="400" w:type="dxa"/>
            <w:vAlign w:val="bottom"/>
          </w:tcPr>
          <w:p>
            <w:pPr>
              <w:spacing w:after="0"/>
              <w:rPr>
                <w:sz w:val="24"/>
                <w:szCs w:val="24"/>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English translation of Exclusive Business Cooperation Agreement between CheYiPai (Beijing) Automotive Technology Service Co.,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Ltd. and Beijing Peak Technology Co., Ltd. dated June 7, 2023</w:t>
            </w:r>
          </w:p>
        </w:tc>
        <w:tc>
          <w:tcPr>
            <w:tcW w:w="0" w:type="dxa"/>
            <w:vAlign w:val="bottom"/>
          </w:tcPr>
          <w:p>
            <w:pPr>
              <w:spacing w:after="0"/>
              <w:rPr>
                <w:sz w:val="1"/>
                <w:szCs w:val="1"/>
                <w:color w:val="auto"/>
              </w:rPr>
            </w:pPr>
          </w:p>
        </w:tc>
      </w:tr>
      <w:tr>
        <w:trPr>
          <w:trHeight w:val="30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English translation of Exclusive Equity Interest Option Agreement among Hangzhou Dasouche Information Technology Service Co.,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Ltd., Hangzhou Souche Network Technology Co., Ltd. and shareholders of Hangzhou Souche Network Technology Co., Ltd. dated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May 16, 2023</w:t>
            </w:r>
          </w:p>
        </w:tc>
        <w:tc>
          <w:tcPr>
            <w:tcW w:w="0" w:type="dxa"/>
            <w:vAlign w:val="bottom"/>
          </w:tcPr>
          <w:p>
            <w:pPr>
              <w:spacing w:after="0"/>
              <w:rPr>
                <w:sz w:val="1"/>
                <w:szCs w:val="1"/>
                <w:color w:val="auto"/>
              </w:rPr>
            </w:pPr>
          </w:p>
        </w:tc>
      </w:tr>
      <w:tr>
        <w:trPr>
          <w:trHeight w:val="30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English translation of Exclusive Equity Interest Option Agreement among CheYiPai (Beijing) Automotive Technology Service Co.,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Ltd., Beijing Peak Technology Co., Ltd. and shareholders of Beijing Peak Technology Co., Ltd. dated June 7, 2023</w:t>
            </w:r>
          </w:p>
        </w:tc>
        <w:tc>
          <w:tcPr>
            <w:tcW w:w="0" w:type="dxa"/>
            <w:vAlign w:val="bottom"/>
          </w:tcPr>
          <w:p>
            <w:pPr>
              <w:spacing w:after="0"/>
              <w:rPr>
                <w:sz w:val="1"/>
                <w:szCs w:val="1"/>
                <w:color w:val="auto"/>
              </w:rPr>
            </w:pPr>
          </w:p>
        </w:tc>
      </w:tr>
      <w:tr>
        <w:trPr>
          <w:trHeight w:val="30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English translation of Voting Proxy Agreement among Hangzhou Dasouche Information Technology Service Co., Ltd., Hangzhou</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Souche Network Technology Co., Ltd. and shareholders of Hangzhou Souche Network Technology Co., Ltd. dated May 16, 2023</w:t>
            </w:r>
          </w:p>
        </w:tc>
        <w:tc>
          <w:tcPr>
            <w:tcW w:w="0" w:type="dxa"/>
            <w:vAlign w:val="bottom"/>
          </w:tcPr>
          <w:p>
            <w:pPr>
              <w:spacing w:after="0"/>
              <w:rPr>
                <w:sz w:val="1"/>
                <w:szCs w:val="1"/>
                <w:color w:val="auto"/>
              </w:rPr>
            </w:pPr>
          </w:p>
        </w:tc>
      </w:tr>
      <w:tr>
        <w:trPr>
          <w:trHeight w:val="30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English translation of Voting Proxy Agreement among CheYiPai (Beijing) Automotive Technology Service Co., Ltd., Beijing Peak</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Technology Co., Ltd. and shareholders of Beijing Peak Technology Co., Ltd. dated June 7, 2023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9820" w:type="dxa"/>
            <w:vAlign w:val="bottom"/>
            <w:vMerge w:val="restart"/>
          </w:tcPr>
          <w:p>
            <w:pPr>
              <w:ind w:left="4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9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Share Pledge Agreement among Hangzhou Dasouche Information Technology Service Co., Ltd., Hangzhou</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Souche Network Technology Co., Ltd. and shareholders of Hangzhou Souche Network Technology Co., Ltd. dated May 16, 2023</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Share Pledge Agreement among CheYiPai (Beijing) Automotive Technology Service Co., Ltd., Beijing Peak</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Technology Co., Ltd. and shareholders of Beijing Peak Technology Co., Ltd. dated June 7, 2023</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Individual Shareholder Undertaking executed by Junhong Yao dated May 16, 2023, in connection with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Registrant’s contractual arrangements with Hangzhou Souche Network Technology Co., Ltd.</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Individual Shareholder Undertaking executed by Liyu Zhang dated May 16, 2023, in connection with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Registrant’s contractual arrangements with Hangzhou Souche Network Technology Co., Ltd.</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Individual Shareholder Undertaking executed by Junhong Yao dated June 7, 2023, in connection with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Registrant’s contractual arrangements with Beijing Peak Technology Co., Ltd.</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Individual Shareholder Undertaking executed by Liyu Zhang dated June 7, 2023, in connection with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Registrant’s contractual arrangements with Beijing Peak Technology Co., Ltd.</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Spousal Undertaking executed by Qunqun Wei, the spouse of Junhong Yao, dated May 16, 2023, in connection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with the Registrant’s contractual arrangements with Hangzhou Souche Network Technology Co., Ltd.</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Spousal Undertaking executed by Anlun Chen, the spouse of Liyu Zhang, dated May 16, 2023, in connection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with the Registrant’s contractual arrangements with Hangzhou Souche Network Technology Co., Ltd.</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Spousal Undertaking executed by Qunqun Wei, the spouse of Junhong Yao, dated June 7, 2023, in connection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with the Registrant’s VIE contractual arrangements with Beijing Peak Technology Co., Ltd.</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English translation of Spousal Undertaking executed by Anlun Chen, the spouse of Liyu Zhang, dated June 7, 2023, in connection with</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Registrant’s contractual arrangements with Beijing Peak Technology Co., Ltd.</w:t>
            </w: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Financial Support Undertaking Letter issued by the Registrant to Hangzhou Souche Network Technology Co., Ltd. dated May 16, 2023.</w:t>
            </w: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Financial Support Undertaking Letter issued by the Registrant to Beijing Peak Technology Co., Ltd. dated June 7, 2023.</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Voting Proxy Agreement by and between the Registrant and Hangzhou Dasouche Information Technology Service Co., Ltd. dated May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16, 2023.</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Voting Proxy Agreement by and between the Registrant and CheYiPai (Beijing) Automotive Technology Service Co., Ltd., dated June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7, 2023.</w:t>
            </w: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21.1**</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VIEs and Principal Subsidiaries of the Registrant</w:t>
            </w: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Consent of Ernst &amp; Young Hua Ming LLP, an independent registered public accounting firm</w:t>
            </w: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23.2*</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Consent of Maples and Calder (Hong Kong) LLP (included in Exhibit 5.1)</w:t>
            </w: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23.3*</w:t>
            </w:r>
          </w:p>
        </w:tc>
        <w:tc>
          <w:tcPr>
            <w:tcW w:w="10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Consent of Haiwen &amp; Partners (included in Exhibit 99.2)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9880" w:type="dxa"/>
            <w:vAlign w:val="bottom"/>
            <w:vMerge w:val="restart"/>
          </w:tcPr>
          <w:p>
            <w:pPr>
              <w:ind w:left="41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Powers of Attorney (included on signature page)</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Code of Business Conduct and Ethics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Opinion of Haiwen &amp; Partners regarding certain PRC law matters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Consent of CIC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540" w:hanging="424"/>
        <w:spacing w:after="0" w:line="250" w:lineRule="auto"/>
        <w:tabs>
          <w:tab w:leader="none" w:pos="5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reliance of the revised Item 601 of Regulation S-K. The registrant hereby undertakes to furnish copies of any of the omitted portions upon request by the Securities and Exchange Commission.</w:t>
      </w:r>
    </w:p>
    <w:p>
      <w:pPr>
        <w:spacing w:after="0" w:line="1" w:lineRule="exact"/>
        <w:rPr>
          <w:sz w:val="20"/>
          <w:szCs w:val="20"/>
          <w:color w:val="auto"/>
        </w:rPr>
      </w:pPr>
    </w:p>
    <w:p>
      <w:pPr>
        <w:ind w:left="540" w:hanging="424"/>
        <w:spacing w:after="0"/>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Beijing, the People’s Republic of China, on           , 2023.</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DSC Holdings Ltd.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Mr. Junhong Yao and Ms. Qin Zou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 2023 in the capacities indicated:</w:t>
      </w:r>
    </w:p>
    <w:p>
      <w:pPr>
        <w:spacing w:after="0" w:line="182" w:lineRule="exact"/>
        <w:rPr>
          <w:sz w:val="20"/>
          <w:szCs w:val="20"/>
          <w:color w:val="auto"/>
        </w:rPr>
      </w:pPr>
    </w:p>
    <w:p>
      <w:pPr>
        <w:ind w:left="2340"/>
        <w:spacing w:after="0"/>
        <w:tabs>
          <w:tab w:leader="none" w:pos="81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Junhong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32061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Liyu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0611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Qin Zou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061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Bofei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0611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Gang 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0611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Yu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0611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Jin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061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Zhiming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061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Ming Jin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0611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Yan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0611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Director</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Chief Financial Officer, Director</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2">
            <w:col w:w="4760" w:space="720"/>
            <w:col w:w="5660"/>
          </w:cols>
          <w:pgMar w:left="320" w:top="455" w:right="439" w:bottom="1440" w:gutter="0" w:footer="0" w:header="0"/>
          <w:type w:val="continuous"/>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DSC Holdings Ltd., has signed this registration statement or amendment thereto in New York on           , 2023.</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II-9</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1)"/>
      <w:numFmt w:val="decimal"/>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1."/>
      <w:numFmt w:val="decimal"/>
      <w:start w:val="2"/>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
      <w:numFmt w:val="bullet"/>
      <w:start w:val="1"/>
    </w:lvl>
  </w:abstractNum>
  <w:abstractNum w:abstractNumId="8">
    <w:nsid w:val="1D9F6E5F"/>
    <w:multiLevelType w:val="hybridMultilevel"/>
    <w:lvl w:ilvl="0">
      <w:lvlJc w:val="left"/>
      <w:lvlText w:val="•"/>
      <w:numFmt w:val="bullet"/>
      <w:start w:val="1"/>
    </w:lvl>
  </w:abstractNum>
  <w:abstractNum w:abstractNumId="9">
    <w:nsid w:val="97E1B4E"/>
    <w:multiLevelType w:val="hybridMultilevel"/>
    <w:lvl w:ilvl="0">
      <w:lvlJc w:val="left"/>
      <w:lvlText w:val="•"/>
      <w:numFmt w:val="bullet"/>
      <w:start w:val="1"/>
    </w:lvl>
  </w:abstractNum>
  <w:abstractNum w:abstractNumId="10">
    <w:nsid w:val="51088277"/>
    <w:multiLevelType w:val="hybridMultilevel"/>
    <w:lvl w:ilvl="0">
      <w:lvlJc w:val="left"/>
      <w:lvlText w:val="•"/>
      <w:numFmt w:val="bullet"/>
      <w:start w:val="1"/>
    </w:lvl>
  </w:abstractNum>
  <w:abstractNum w:abstractNumId="11">
    <w:nsid w:val="1CA0C5FA"/>
    <w:multiLevelType w:val="hybridMultilevel"/>
    <w:lvl w:ilvl="0">
      <w:lvlJc w:val="left"/>
      <w:lvlText w:val="•"/>
      <w:numFmt w:val="bullet"/>
      <w:start w:val="1"/>
    </w:lvl>
  </w:abstractNum>
  <w:abstractNum w:abstractNumId="12">
    <w:nsid w:val="53584BCB"/>
    <w:multiLevelType w:val="hybridMultilevel"/>
    <w:lvl w:ilvl="0">
      <w:lvlJc w:val="left"/>
      <w:lvlText w:val="•"/>
      <w:numFmt w:val="bullet"/>
      <w:start w:val="1"/>
    </w:lvl>
  </w:abstractNum>
  <w:abstractNum w:abstractNumId="13">
    <w:nsid w:val="415E286C"/>
    <w:multiLevelType w:val="hybridMultilevel"/>
    <w:lvl w:ilvl="0">
      <w:lvlJc w:val="left"/>
      <w:lvlText w:val="•"/>
      <w:numFmt w:val="bullet"/>
      <w:start w:val="1"/>
    </w:lvl>
  </w:abstractNum>
  <w:abstractNum w:abstractNumId="14">
    <w:nsid w:val="7C58FD05"/>
    <w:multiLevelType w:val="hybridMultilevel"/>
    <w:lvl w:ilvl="0">
      <w:lvlJc w:val="left"/>
      <w:lvlText w:val="•"/>
      <w:numFmt w:val="bullet"/>
      <w:start w:val="1"/>
    </w:lvl>
  </w:abstractNum>
  <w:abstractNum w:abstractNumId="15">
    <w:nsid w:val="23D86AAC"/>
    <w:multiLevelType w:val="hybridMultilevel"/>
    <w:lvl w:ilvl="0">
      <w:lvlJc w:val="left"/>
      <w:lvlText w:val="•"/>
      <w:numFmt w:val="bullet"/>
      <w:start w:val="1"/>
    </w:lvl>
  </w:abstractNum>
  <w:abstractNum w:abstractNumId="16">
    <w:nsid w:val="45E6D486"/>
    <w:multiLevelType w:val="hybridMultilevel"/>
    <w:lvl w:ilvl="0">
      <w:lvlJc w:val="left"/>
      <w:lvlText w:val="•"/>
      <w:numFmt w:val="bullet"/>
      <w:start w:val="1"/>
    </w:lvl>
  </w:abstractNum>
  <w:abstractNum w:abstractNumId="17">
    <w:nsid w:val="5C10FE21"/>
    <w:multiLevelType w:val="hybridMultilevel"/>
    <w:lvl w:ilvl="0">
      <w:lvlJc w:val="left"/>
      <w:lvlText w:val="•"/>
      <w:numFmt w:val="bullet"/>
      <w:start w:val="1"/>
    </w:lvl>
  </w:abstractNum>
  <w:abstractNum w:abstractNumId="18">
    <w:nsid w:val="E7FFA2B"/>
    <w:multiLevelType w:val="hybridMultilevel"/>
    <w:lvl w:ilvl="0">
      <w:lvlJc w:val="left"/>
      <w:lvlText w:val="•"/>
      <w:numFmt w:val="bullet"/>
      <w:start w:val="1"/>
    </w:lvl>
  </w:abstractNum>
  <w:abstractNum w:abstractNumId="19">
    <w:nsid w:val="3C5991AA"/>
    <w:multiLevelType w:val="hybridMultilevel"/>
    <w:lvl w:ilvl="0">
      <w:lvlJc w:val="left"/>
      <w:lvlText w:val="•"/>
      <w:numFmt w:val="bullet"/>
      <w:start w:val="1"/>
    </w:lvl>
  </w:abstractNum>
  <w:abstractNum w:abstractNumId="20">
    <w:nsid w:val="4BD8591A"/>
    <w:multiLevelType w:val="hybridMultilevel"/>
    <w:lvl w:ilvl="0">
      <w:lvlJc w:val="left"/>
      <w:lvlText w:val="•"/>
      <w:numFmt w:val="bullet"/>
      <w:start w:val="1"/>
    </w:lvl>
  </w:abstractNum>
  <w:abstractNum w:abstractNumId="21">
    <w:nsid w:val="78DF6A55"/>
    <w:multiLevelType w:val="hybridMultilevel"/>
    <w:lvl w:ilvl="0">
      <w:lvlJc w:val="left"/>
      <w:lvlText w:val="•"/>
      <w:numFmt w:val="bullet"/>
      <w:start w:val="1"/>
    </w:lvl>
  </w:abstractNum>
  <w:abstractNum w:abstractNumId="22">
    <w:nsid w:val="39B7AAA2"/>
    <w:multiLevelType w:val="hybridMultilevel"/>
    <w:lvl w:ilvl="0">
      <w:lvlJc w:val="left"/>
      <w:lvlText w:val="(%1)"/>
      <w:numFmt w:val="decimal"/>
      <w:start w:val="2"/>
    </w:lvl>
  </w:abstractNum>
  <w:abstractNum w:abstractNumId="23">
    <w:nsid w:val="2B0D8DBE"/>
    <w:multiLevelType w:val="hybridMultilevel"/>
    <w:lvl w:ilvl="0">
      <w:lvlJc w:val="left"/>
      <w:lvlText w:val="•"/>
      <w:numFmt w:val="bullet"/>
      <w:start w:val="1"/>
    </w:lvl>
    <w:lvl w:ilvl="1">
      <w:lvlJc w:val="left"/>
      <w:lvlText w:val="•"/>
      <w:numFmt w:val="bullet"/>
      <w:start w:val="1"/>
    </w:lvl>
  </w:abstractNum>
  <w:abstractNum w:abstractNumId="24">
    <w:nsid w:val="6C80EC70"/>
    <w:multiLevelType w:val="hybridMultilevel"/>
    <w:lvl w:ilvl="0">
      <w:lvlJc w:val="left"/>
      <w:lvlText w:val="•"/>
      <w:numFmt w:val="bullet"/>
      <w:start w:val="1"/>
    </w:lvl>
  </w:abstractNum>
  <w:abstractNum w:abstractNumId="25">
    <w:nsid w:val="379E21B5"/>
    <w:multiLevelType w:val="hybridMultilevel"/>
    <w:lvl w:ilvl="0">
      <w:lvlJc w:val="left"/>
      <w:lvlText w:val="•"/>
      <w:numFmt w:val="bullet"/>
      <w:start w:val="1"/>
    </w:lvl>
  </w:abstractNum>
  <w:abstractNum w:abstractNumId="26">
    <w:nsid w:val="69E373"/>
    <w:multiLevelType w:val="hybridMultilevel"/>
    <w:lvl w:ilvl="0">
      <w:lvlJc w:val="left"/>
      <w:lvlText w:val="•"/>
      <w:numFmt w:val="bullet"/>
      <w:start w:val="1"/>
    </w:lvl>
    <w:lvl w:ilvl="1">
      <w:lvlJc w:val="left"/>
      <w:lvlText w:val="•"/>
      <w:numFmt w:val="bullet"/>
      <w:start w:val="1"/>
    </w:lvl>
  </w:abstractNum>
  <w:abstractNum w:abstractNumId="27">
    <w:nsid w:val="2C27173B"/>
    <w:multiLevelType w:val="hybridMultilevel"/>
    <w:lvl w:ilvl="0">
      <w:lvlJc w:val="left"/>
      <w:lvlText w:val="(%1)"/>
      <w:numFmt w:val="lowerRoman"/>
      <w:start w:val="3"/>
    </w:lvl>
  </w:abstractNum>
  <w:abstractNum w:abstractNumId="28">
    <w:nsid w:val="4C9B0904"/>
    <w:multiLevelType w:val="hybridMultilevel"/>
    <w:lvl w:ilvl="0">
      <w:lvlJc w:val="left"/>
      <w:lvlText w:val="•"/>
      <w:numFmt w:val="bullet"/>
      <w:start w:val="1"/>
    </w:lvl>
    <w:lvl w:ilvl="1">
      <w:lvlJc w:val="left"/>
      <w:lvlText w:val="•"/>
      <w:numFmt w:val="bullet"/>
      <w:start w:val="1"/>
    </w:lvl>
  </w:abstractNum>
  <w:abstractNum w:abstractNumId="29">
    <w:nsid w:val="6AA7B75C"/>
    <w:multiLevelType w:val="hybridMultilevel"/>
    <w:lvl w:ilvl="0">
      <w:lvlJc w:val="left"/>
      <w:lvlText w:val="•"/>
      <w:numFmt w:val="bullet"/>
      <w:start w:val="1"/>
    </w:lvl>
  </w:abstractNum>
  <w:abstractNum w:abstractNumId="30">
    <w:nsid w:val="1DF029D3"/>
    <w:multiLevelType w:val="hybridMultilevel"/>
    <w:lvl w:ilvl="0">
      <w:lvlJc w:val="left"/>
      <w:lvlText w:val="•"/>
      <w:numFmt w:val="bullet"/>
      <w:start w:val="1"/>
    </w:lvl>
  </w:abstractNum>
  <w:abstractNum w:abstractNumId="31">
    <w:nsid w:val="5675FF36"/>
    <w:multiLevelType w:val="hybridMultilevel"/>
    <w:lvl w:ilvl="0">
      <w:lvlJc w:val="left"/>
      <w:lvlText w:val="•"/>
      <w:numFmt w:val="bullet"/>
      <w:start w:val="1"/>
    </w:lvl>
  </w:abstractNum>
  <w:abstractNum w:abstractNumId="32">
    <w:nsid w:val="3DD15094"/>
    <w:multiLevelType w:val="hybridMultilevel"/>
    <w:lvl w:ilvl="0">
      <w:lvlJc w:val="left"/>
      <w:lvlText w:val="•"/>
      <w:numFmt w:val="bullet"/>
      <w:start w:val="1"/>
    </w:lvl>
    <w:lvl w:ilvl="1">
      <w:lvlJc w:val="left"/>
      <w:lvlText w:val="•"/>
      <w:numFmt w:val="bullet"/>
      <w:start w:val="1"/>
    </w:lvl>
  </w:abstractNum>
  <w:abstractNum w:abstractNumId="33">
    <w:nsid w:val="3DB012B3"/>
    <w:multiLevelType w:val="hybridMultilevel"/>
    <w:lvl w:ilvl="0">
      <w:lvlJc w:val="left"/>
      <w:lvlText w:val="•"/>
      <w:numFmt w:val="bullet"/>
      <w:start w:val="1"/>
    </w:lvl>
  </w:abstractNum>
  <w:abstractNum w:abstractNumId="34">
    <w:nsid w:val="2708C9AF"/>
    <w:multiLevelType w:val="hybridMultilevel"/>
    <w:lvl w:ilvl="0">
      <w:lvlJc w:val="left"/>
      <w:lvlText w:val="•"/>
      <w:numFmt w:val="bullet"/>
      <w:start w:val="1"/>
    </w:lvl>
  </w:abstractNum>
  <w:abstractNum w:abstractNumId="35">
    <w:nsid w:val="5B25ACE2"/>
    <w:multiLevelType w:val="hybridMultilevel"/>
    <w:lvl w:ilvl="0">
      <w:lvlJc w:val="left"/>
      <w:lvlText w:val="•"/>
      <w:numFmt w:val="bullet"/>
      <w:start w:val="1"/>
    </w:lvl>
  </w:abstractNum>
  <w:abstractNum w:abstractNumId="36">
    <w:nsid w:val="175DFCF0"/>
    <w:multiLevelType w:val="hybridMultilevel"/>
    <w:lvl w:ilvl="0">
      <w:lvlJc w:val="left"/>
      <w:lvlText w:val="•"/>
      <w:numFmt w:val="bullet"/>
      <w:start w:val="1"/>
    </w:lvl>
    <w:lvl w:ilvl="1">
      <w:lvlJc w:val="left"/>
      <w:lvlText w:val="•"/>
      <w:numFmt w:val="bullet"/>
      <w:start w:val="1"/>
    </w:lvl>
  </w:abstractNum>
  <w:abstractNum w:abstractNumId="37">
    <w:nsid w:val="4F97E3E4"/>
    <w:multiLevelType w:val="hybridMultilevel"/>
    <w:lvl w:ilvl="0">
      <w:lvlJc w:val="left"/>
      <w:lvlText w:val="•"/>
      <w:numFmt w:val="bullet"/>
      <w:start w:val="1"/>
    </w:lvl>
  </w:abstractNum>
  <w:abstractNum w:abstractNumId="38">
    <w:nsid w:val="53B0A9E"/>
    <w:multiLevelType w:val="hybridMultilevel"/>
    <w:lvl w:ilvl="0">
      <w:lvlJc w:val="left"/>
      <w:lvlText w:val="•"/>
      <w:numFmt w:val="bullet"/>
      <w:start w:val="1"/>
    </w:lvl>
  </w:abstractNum>
  <w:abstractNum w:abstractNumId="39">
    <w:nsid w:val="34FD6B4F"/>
    <w:multiLevelType w:val="hybridMultilevel"/>
    <w:lvl w:ilvl="0">
      <w:lvlJc w:val="left"/>
      <w:lvlText w:val="•"/>
      <w:numFmt w:val="bullet"/>
      <w:start w:val="1"/>
    </w:lvl>
  </w:abstractNum>
  <w:abstractNum w:abstractNumId="40">
    <w:nsid w:val="5915FF32"/>
    <w:multiLevelType w:val="hybridMultilevel"/>
    <w:lvl w:ilvl="0">
      <w:lvlJc w:val="left"/>
      <w:lvlText w:val="(%1)"/>
      <w:numFmt w:val="lowerRoman"/>
      <w:start w:val="4"/>
    </w:lvl>
  </w:abstractNum>
  <w:abstractNum w:abstractNumId="41">
    <w:nsid w:val="56438D15"/>
    <w:multiLevelType w:val="hybridMultilevel"/>
    <w:lvl w:ilvl="0">
      <w:lvlJc w:val="left"/>
      <w:lvlText w:val="•"/>
      <w:numFmt w:val="bullet"/>
      <w:start w:val="1"/>
    </w:lvl>
    <w:lvl w:ilvl="1">
      <w:lvlJc w:val="left"/>
      <w:lvlText w:val="•"/>
      <w:numFmt w:val="bullet"/>
      <w:start w:val="1"/>
    </w:lvl>
  </w:abstractNum>
  <w:abstractNum w:abstractNumId="42">
    <w:nsid w:val="519E3149"/>
    <w:multiLevelType w:val="hybridMultilevel"/>
    <w:lvl w:ilvl="0">
      <w:lvlJc w:val="left"/>
      <w:lvlText w:val="•"/>
      <w:numFmt w:val="bullet"/>
      <w:start w:val="1"/>
    </w:lvl>
    <w:lvl w:ilvl="1">
      <w:lvlJc w:val="left"/>
      <w:lvlText w:val="•"/>
      <w:numFmt w:val="bullet"/>
      <w:start w:val="1"/>
    </w:lvl>
  </w:abstractNum>
  <w:abstractNum w:abstractNumId="43">
    <w:nsid w:val="2C6E4AFD"/>
    <w:multiLevelType w:val="hybridMultilevel"/>
    <w:lvl w:ilvl="0">
      <w:lvlJc w:val="left"/>
      <w:lvlText w:val="•"/>
      <w:numFmt w:val="bullet"/>
      <w:start w:val="1"/>
    </w:lvl>
    <w:lvl w:ilvl="1">
      <w:lvlJc w:val="left"/>
      <w:lvlText w:val="•"/>
      <w:numFmt w:val="bullet"/>
      <w:start w:val="1"/>
    </w:lvl>
  </w:abstractNum>
  <w:abstractNum w:abstractNumId="44">
    <w:nsid w:val="17A1B582"/>
    <w:multiLevelType w:val="hybridMultilevel"/>
    <w:lvl w:ilvl="0">
      <w:lvlJc w:val="left"/>
      <w:lvlText w:val="•"/>
      <w:numFmt w:val="bullet"/>
      <w:start w:val="1"/>
    </w:lvl>
  </w:abstractNum>
  <w:abstractNum w:abstractNumId="45">
    <w:nsid w:val="4DF72E4E"/>
    <w:multiLevelType w:val="hybridMultilevel"/>
    <w:lvl w:ilvl="0">
      <w:lvlJc w:val="left"/>
      <w:lvlText w:val="•"/>
      <w:numFmt w:val="bullet"/>
      <w:start w:val="1"/>
    </w:lvl>
  </w:abstractNum>
  <w:abstractNum w:abstractNumId="46">
    <w:nsid w:val="5046B5A9"/>
    <w:multiLevelType w:val="hybridMultilevel"/>
    <w:lvl w:ilvl="0">
      <w:lvlJc w:val="left"/>
      <w:lvlText w:val="•"/>
      <w:numFmt w:val="bullet"/>
      <w:start w:val="1"/>
    </w:lvl>
  </w:abstractNum>
  <w:abstractNum w:abstractNumId="47">
    <w:nsid w:val="5D888A08"/>
    <w:multiLevelType w:val="hybridMultilevel"/>
    <w:lvl w:ilvl="0">
      <w:lvlJc w:val="left"/>
      <w:lvlText w:val="(%1)"/>
      <w:numFmt w:val="decimal"/>
      <w:start w:val="2"/>
    </w:lvl>
  </w:abstractNum>
  <w:abstractNum w:abstractNumId="48">
    <w:nsid w:val="2A082C70"/>
    <w:multiLevelType w:val="hybridMultilevel"/>
    <w:lvl w:ilvl="0">
      <w:lvlJc w:val="left"/>
      <w:lvlText w:val="•"/>
      <w:numFmt w:val="bullet"/>
      <w:start w:val="1"/>
    </w:lvl>
  </w:abstractNum>
  <w:abstractNum w:abstractNumId="49">
    <w:nsid w:val="5EC6AFD4"/>
    <w:multiLevelType w:val="hybridMultilevel"/>
    <w:lvl w:ilvl="0">
      <w:lvlJc w:val="left"/>
      <w:lvlText w:val="•"/>
      <w:numFmt w:val="bullet"/>
      <w:start w:val="1"/>
    </w:lvl>
  </w:abstractNum>
  <w:abstractNum w:abstractNumId="50">
    <w:nsid w:val="19E21BB2"/>
    <w:multiLevelType w:val="hybridMultilevel"/>
    <w:lvl w:ilvl="0">
      <w:lvlJc w:val="left"/>
      <w:lvlText w:val="•"/>
      <w:numFmt w:val="bullet"/>
      <w:start w:val="1"/>
    </w:lvl>
  </w:abstractNum>
  <w:abstractNum w:abstractNumId="51">
    <w:nsid w:val="75E0858A"/>
    <w:multiLevelType w:val="hybridMultilevel"/>
    <w:lvl w:ilvl="0">
      <w:lvlJc w:val="left"/>
      <w:lvlText w:val="•"/>
      <w:numFmt w:val="bullet"/>
      <w:start w:val="1"/>
    </w:lvl>
  </w:abstractNum>
  <w:abstractNum w:abstractNumId="52">
    <w:nsid w:val="57A61A29"/>
    <w:multiLevelType w:val="hybridMultilevel"/>
    <w:lvl w:ilvl="0">
      <w:lvlJc w:val="left"/>
      <w:lvlText w:val="•"/>
      <w:numFmt w:val="bullet"/>
      <w:start w:val="1"/>
    </w:lvl>
  </w:abstractNum>
  <w:abstractNum w:abstractNumId="53">
    <w:nsid w:val="5399C654"/>
    <w:multiLevelType w:val="hybridMultilevel"/>
    <w:lvl w:ilvl="0">
      <w:lvlJc w:val="left"/>
      <w:lvlText w:val="•"/>
      <w:numFmt w:val="bullet"/>
      <w:start w:val="1"/>
    </w:lvl>
  </w:abstractNum>
  <w:abstractNum w:abstractNumId="54">
    <w:nsid w:val="20EE1348"/>
    <w:multiLevelType w:val="hybridMultilevel"/>
    <w:lvl w:ilvl="0">
      <w:lvlJc w:val="left"/>
      <w:lvlText w:val="•"/>
      <w:numFmt w:val="bullet"/>
      <w:start w:val="1"/>
    </w:lvl>
  </w:abstractNum>
  <w:abstractNum w:abstractNumId="55">
    <w:nsid w:val="4427069A"/>
    <w:multiLevelType w:val="hybridMultilevel"/>
    <w:lvl w:ilvl="0">
      <w:lvlJc w:val="left"/>
      <w:lvlText w:val="•"/>
      <w:numFmt w:val="bullet"/>
      <w:start w:val="1"/>
    </w:lvl>
  </w:abstractNum>
  <w:abstractNum w:abstractNumId="56">
    <w:nsid w:val="B37E80A"/>
    <w:multiLevelType w:val="hybridMultilevel"/>
    <w:lvl w:ilvl="0">
      <w:lvlJc w:val="left"/>
      <w:lvlText w:val="•"/>
      <w:numFmt w:val="bullet"/>
      <w:start w:val="1"/>
    </w:lvl>
    <w:lvl w:ilvl="1">
      <w:lvlJc w:val="left"/>
      <w:lvlText w:val="(%2)"/>
      <w:numFmt w:val="lowerRoman"/>
      <w:start w:val="1"/>
    </w:lvl>
  </w:abstractNum>
  <w:abstractNum w:abstractNumId="57">
    <w:nsid w:val="2157F6BC"/>
    <w:multiLevelType w:val="hybridMultilevel"/>
    <w:lvl w:ilvl="0">
      <w:lvlJc w:val="left"/>
      <w:lvlText w:val="•"/>
      <w:numFmt w:val="bullet"/>
      <w:start w:val="1"/>
    </w:lvl>
  </w:abstractNum>
  <w:abstractNum w:abstractNumId="58">
    <w:nsid w:val="704E1DD5"/>
    <w:multiLevelType w:val="hybridMultilevel"/>
    <w:lvl w:ilvl="0">
      <w:lvlJc w:val="left"/>
      <w:lvlText w:val="•"/>
      <w:numFmt w:val="bullet"/>
      <w:start w:val="1"/>
    </w:lvl>
  </w:abstractNum>
  <w:abstractNum w:abstractNumId="59">
    <w:nsid w:val="57D2F10E"/>
    <w:multiLevelType w:val="hybridMultilevel"/>
    <w:lvl w:ilvl="0">
      <w:lvlJc w:val="left"/>
      <w:lvlText w:val="•"/>
      <w:numFmt w:val="bullet"/>
      <w:start w:val="1"/>
    </w:lvl>
  </w:abstractNum>
  <w:abstractNum w:abstractNumId="60">
    <w:nsid w:val="BFFAE18"/>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3"/>
    </w:lvl>
  </w:abstractNum>
  <w:abstractNum w:abstractNumId="61">
    <w:nsid w:val="E3E47A8"/>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3"/>
    </w:lvl>
  </w:abstractNum>
  <w:abstractNum w:abstractNumId="62">
    <w:nsid w:val="2E48F044"/>
    <w:multiLevelType w:val="hybridMultilevel"/>
    <w:lvl w:ilvl="0">
      <w:lvlJc w:val="left"/>
      <w:lvlText w:val="(%1)"/>
      <w:numFmt w:val="lowerRoman"/>
      <w:start w:val="3"/>
    </w:lvl>
  </w:abstractNum>
  <w:abstractNum w:abstractNumId="63">
    <w:nsid w:val="49D0FEAC"/>
    <w:multiLevelType w:val="hybridMultilevel"/>
    <w:lvl w:ilvl="0">
      <w:lvlJc w:val="left"/>
      <w:lvlText w:val="(%1)"/>
      <w:numFmt w:val="lowerRoman"/>
      <w:start w:val="1"/>
    </w:lvl>
  </w:abstractNum>
  <w:abstractNum w:abstractNumId="64">
    <w:nsid w:val="4BEE5A5B"/>
    <w:multiLevelType w:val="hybridMultilevel"/>
    <w:lvl w:ilvl="0">
      <w:lvlJc w:val="left"/>
      <w:lvlText w:val="(%1)"/>
      <w:numFmt w:val="lowerRoman"/>
      <w:start w:val="4"/>
    </w:lvl>
  </w:abstractNum>
  <w:abstractNum w:abstractNumId="65">
    <w:nsid w:val="5551B9F3"/>
    <w:multiLevelType w:val="hybridMultilevel"/>
    <w:lvl w:ilvl="0">
      <w:lvlJc w:val="left"/>
      <w:lvlText w:val="(%1)"/>
      <w:numFmt w:val="lowerRoman"/>
      <w:start w:val="1"/>
    </w:lvl>
  </w:abstractNum>
  <w:abstractNum w:abstractNumId="66">
    <w:nsid w:val="24F6AB8E"/>
    <w:multiLevelType w:val="hybridMultilevel"/>
    <w:lvl w:ilvl="0">
      <w:lvlJc w:val="left"/>
      <w:lvlText w:val="•"/>
      <w:numFmt w:val="bullet"/>
      <w:start w:val="1"/>
    </w:lvl>
  </w:abstractNum>
  <w:abstractNum w:abstractNumId="67">
    <w:nsid w:val="634C574C"/>
    <w:multiLevelType w:val="hybridMultilevel"/>
    <w:lvl w:ilvl="0">
      <w:lvlJc w:val="left"/>
      <w:lvlText w:val="•"/>
      <w:numFmt w:val="bullet"/>
      <w:start w:val="1"/>
    </w:lvl>
  </w:abstractNum>
  <w:abstractNum w:abstractNumId="68">
    <w:nsid w:val="24E99DD7"/>
    <w:multiLevelType w:val="hybridMultilevel"/>
    <w:lvl w:ilvl="0">
      <w:lvlJc w:val="left"/>
      <w:lvlText w:val="•"/>
      <w:numFmt w:val="bullet"/>
      <w:start w:val="1"/>
    </w:lvl>
  </w:abstractNum>
  <w:abstractNum w:abstractNumId="69">
    <w:nsid w:val="2A31B62D"/>
    <w:multiLevelType w:val="hybridMultilevel"/>
    <w:lvl w:ilvl="0">
      <w:lvlJc w:val="left"/>
      <w:lvlText w:val="•"/>
      <w:numFmt w:val="bullet"/>
      <w:start w:val="1"/>
    </w:lvl>
    <w:lvl w:ilvl="1">
      <w:lvlJc w:val="left"/>
      <w:lvlText w:val="•"/>
      <w:numFmt w:val="bullet"/>
      <w:start w:val="1"/>
    </w:lvl>
  </w:abstractNum>
  <w:abstractNum w:abstractNumId="70">
    <w:nsid w:val="1849C29B"/>
    <w:multiLevelType w:val="hybridMultilevel"/>
    <w:lvl w:ilvl="0">
      <w:lvlJc w:val="left"/>
      <w:lvlText w:val="•"/>
      <w:numFmt w:val="bullet"/>
      <w:start w:val="1"/>
    </w:lvl>
  </w:abstractNum>
  <w:abstractNum w:abstractNumId="71">
    <w:nsid w:val="7DFF9D09"/>
    <w:multiLevelType w:val="hybridMultilevel"/>
    <w:lvl w:ilvl="0">
      <w:lvlJc w:val="left"/>
      <w:lvlText w:val="•"/>
      <w:numFmt w:val="bullet"/>
      <w:start w:val="1"/>
    </w:lvl>
  </w:abstractNum>
  <w:abstractNum w:abstractNumId="72">
    <w:nsid w:val="754342"/>
    <w:multiLevelType w:val="hybridMultilevel"/>
    <w:lvl w:ilvl="0">
      <w:lvlJc w:val="left"/>
      <w:lvlText w:val="•"/>
      <w:numFmt w:val="bullet"/>
      <w:start w:val="1"/>
    </w:lvl>
    <w:lvl w:ilvl="1">
      <w:lvlJc w:val="left"/>
      <w:lvlText w:val="•"/>
      <w:numFmt w:val="bullet"/>
      <w:start w:val="1"/>
    </w:lvl>
  </w:abstractNum>
  <w:abstractNum w:abstractNumId="73">
    <w:nsid w:val="69E7F3E5"/>
    <w:multiLevelType w:val="hybridMultilevel"/>
    <w:lvl w:ilvl="0">
      <w:lvlJc w:val="left"/>
      <w:lvlText w:val="•"/>
      <w:numFmt w:val="bullet"/>
      <w:start w:val="1"/>
    </w:lvl>
  </w:abstractNum>
  <w:abstractNum w:abstractNumId="74">
    <w:nsid w:val="2A6DE806"/>
    <w:multiLevelType w:val="hybridMultilevel"/>
    <w:lvl w:ilvl="0">
      <w:lvlJc w:val="left"/>
      <w:lvlText w:val="•"/>
      <w:numFmt w:val="bullet"/>
      <w:start w:val="1"/>
    </w:lvl>
  </w:abstractNum>
  <w:abstractNum w:abstractNumId="75">
    <w:nsid w:val="1816F8C4"/>
    <w:multiLevelType w:val="hybridMultilevel"/>
    <w:lvl w:ilvl="0">
      <w:lvlJc w:val="left"/>
      <w:lvlText w:val="•"/>
      <w:numFmt w:val="bullet"/>
      <w:start w:val="1"/>
    </w:lvl>
    <w:lvl w:ilvl="1">
      <w:lvlJc w:val="left"/>
      <w:lvlText w:val="•"/>
      <w:numFmt w:val="bullet"/>
      <w:start w:val="1"/>
    </w:lvl>
  </w:abstractNum>
  <w:abstractNum w:abstractNumId="76">
    <w:nsid w:val="37DF2233"/>
    <w:multiLevelType w:val="hybridMultilevel"/>
    <w:lvl w:ilvl="0">
      <w:lvlJc w:val="left"/>
      <w:lvlText w:val="•"/>
      <w:numFmt w:val="bullet"/>
      <w:start w:val="1"/>
    </w:lvl>
  </w:abstractNum>
  <w:abstractNum w:abstractNumId="77">
    <w:nsid w:val="7AB49DAF"/>
    <w:multiLevelType w:val="hybridMultilevel"/>
    <w:lvl w:ilvl="0">
      <w:lvlJc w:val="left"/>
      <w:lvlText w:val="•"/>
      <w:numFmt w:val="bullet"/>
      <w:start w:val="1"/>
    </w:lvl>
  </w:abstractNum>
  <w:abstractNum w:abstractNumId="78">
    <w:nsid w:val="759F82CD"/>
    <w:multiLevelType w:val="hybridMultilevel"/>
    <w:lvl w:ilvl="0">
      <w:lvlJc w:val="left"/>
      <w:lvlText w:val="%1."/>
      <w:numFmt w:val="decimal"/>
      <w:start w:val="2"/>
    </w:lvl>
  </w:abstractNum>
  <w:abstractNum w:abstractNumId="79">
    <w:nsid w:val="61E74EA3"/>
    <w:multiLevelType w:val="hybridMultilevel"/>
    <w:lvl w:ilvl="0">
      <w:lvlJc w:val="left"/>
      <w:lvlText w:val="•"/>
      <w:numFmt w:val="bullet"/>
      <w:start w:val="1"/>
    </w:lvl>
  </w:abstractNum>
  <w:abstractNum w:abstractNumId="80">
    <w:nsid w:val="597B4D84"/>
    <w:multiLevelType w:val="hybridMultilevel"/>
    <w:lvl w:ilvl="0">
      <w:lvlJc w:val="left"/>
      <w:lvlText w:val="•"/>
      <w:numFmt w:val="bullet"/>
      <w:start w:val="1"/>
    </w:lvl>
  </w:abstractNum>
  <w:abstractNum w:abstractNumId="81">
    <w:nsid w:val="F819E7F"/>
    <w:multiLevelType w:val="hybridMultilevel"/>
    <w:lvl w:ilvl="0">
      <w:lvlJc w:val="left"/>
      <w:lvlText w:val="•"/>
      <w:numFmt w:val="bullet"/>
      <w:start w:val="1"/>
    </w:lvl>
  </w:abstractNum>
  <w:abstractNum w:abstractNumId="82">
    <w:nsid w:val="57C7D42D"/>
    <w:multiLevelType w:val="hybridMultilevel"/>
    <w:lvl w:ilvl="0">
      <w:lvlJc w:val="left"/>
      <w:lvlText w:val="•"/>
      <w:numFmt w:val="bullet"/>
      <w:start w:val="1"/>
    </w:lvl>
  </w:abstractNum>
  <w:abstractNum w:abstractNumId="83">
    <w:nsid w:val="312167AD"/>
    <w:multiLevelType w:val="hybridMultilevel"/>
    <w:lvl w:ilvl="0">
      <w:lvlJc w:val="left"/>
      <w:lvlText w:val="•"/>
      <w:numFmt w:val="bullet"/>
      <w:start w:val="1"/>
    </w:lvl>
  </w:abstractNum>
  <w:abstractNum w:abstractNumId="84">
    <w:nsid w:val="631B64D4"/>
    <w:multiLevelType w:val="hybridMultilevel"/>
    <w:lvl w:ilvl="0">
      <w:lvlJc w:val="left"/>
      <w:lvlText w:val="•"/>
      <w:numFmt w:val="bullet"/>
      <w:start w:val="1"/>
    </w:lvl>
  </w:abstractNum>
  <w:abstractNum w:abstractNumId="85">
    <w:nsid w:val="78B5E776"/>
    <w:multiLevelType w:val="hybridMultilevel"/>
    <w:lvl w:ilvl="0">
      <w:lvlJc w:val="left"/>
      <w:lvlText w:val="•"/>
      <w:numFmt w:val="bullet"/>
      <w:start w:val="1"/>
    </w:lvl>
  </w:abstractNum>
  <w:abstractNum w:abstractNumId="86">
    <w:nsid w:val="75486E47"/>
    <w:multiLevelType w:val="hybridMultilevel"/>
    <w:lvl w:ilvl="0">
      <w:lvlJc w:val="left"/>
      <w:lvlText w:val="•"/>
      <w:numFmt w:val="bullet"/>
      <w:start w:val="1"/>
    </w:lvl>
  </w:abstractNum>
  <w:abstractNum w:abstractNumId="87">
    <w:nsid w:val="6E534CDE"/>
    <w:multiLevelType w:val="hybridMultilevel"/>
    <w:lvl w:ilvl="0">
      <w:lvlJc w:val="left"/>
      <w:lvlText w:val="•"/>
      <w:numFmt w:val="bullet"/>
      <w:start w:val="1"/>
    </w:lvl>
  </w:abstractNum>
  <w:abstractNum w:abstractNumId="88">
    <w:nsid w:val="1A0DDE32"/>
    <w:multiLevelType w:val="hybridMultilevel"/>
    <w:lvl w:ilvl="0">
      <w:lvlJc w:val="left"/>
      <w:lvlText w:val="•"/>
      <w:numFmt w:val="bullet"/>
      <w:start w:val="1"/>
    </w:lvl>
  </w:abstractNum>
  <w:abstractNum w:abstractNumId="89">
    <w:nsid w:val="65968C1C"/>
    <w:multiLevelType w:val="hybridMultilevel"/>
    <w:lvl w:ilvl="0">
      <w:lvlJc w:val="left"/>
      <w:lvlText w:val="•"/>
      <w:numFmt w:val="bullet"/>
      <w:start w:val="1"/>
    </w:lvl>
  </w:abstractNum>
  <w:abstractNum w:abstractNumId="90">
    <w:nsid w:val="46263DEC"/>
    <w:multiLevelType w:val="hybridMultilevel"/>
    <w:lvl w:ilvl="0">
      <w:lvlJc w:val="left"/>
      <w:lvlText w:val="•"/>
      <w:numFmt w:val="bullet"/>
      <w:start w:val="1"/>
    </w:lvl>
  </w:abstractNum>
  <w:abstractNum w:abstractNumId="91">
    <w:nsid w:val="260D8C4A"/>
    <w:multiLevelType w:val="hybridMultilevel"/>
    <w:lvl w:ilvl="0">
      <w:lvlJc w:val="left"/>
      <w:lvlText w:val="•"/>
      <w:numFmt w:val="bullet"/>
      <w:start w:val="1"/>
    </w:lvl>
  </w:abstractNum>
  <w:abstractNum w:abstractNumId="92">
    <w:nsid w:val="73D4D3C4"/>
    <w:multiLevelType w:val="hybridMultilevel"/>
    <w:lvl w:ilvl="0">
      <w:lvlJc w:val="left"/>
      <w:lvlText w:val="•"/>
      <w:numFmt w:val="bullet"/>
      <w:start w:val="1"/>
    </w:lvl>
  </w:abstractNum>
  <w:abstractNum w:abstractNumId="93">
    <w:nsid w:val="746F2E30"/>
    <w:multiLevelType w:val="hybridMultilevel"/>
    <w:lvl w:ilvl="0">
      <w:lvlJc w:val="left"/>
      <w:lvlText w:val="•"/>
      <w:numFmt w:val="bullet"/>
      <w:start w:val="1"/>
    </w:lvl>
  </w:abstractNum>
  <w:abstractNum w:abstractNumId="94">
    <w:nsid w:val="6FDE8AF6"/>
    <w:multiLevelType w:val="hybridMultilevel"/>
    <w:lvl w:ilvl="0">
      <w:lvlJc w:val="left"/>
      <w:lvlText w:val="•"/>
      <w:numFmt w:val="bullet"/>
      <w:start w:val="1"/>
    </w:lvl>
    <w:lvl w:ilvl="1">
      <w:lvlJc w:val="left"/>
      <w:lvlText w:val="•"/>
      <w:numFmt w:val="bullet"/>
      <w:start w:val="1"/>
    </w:lvl>
  </w:abstractNum>
  <w:abstractNum w:abstractNumId="95">
    <w:nsid w:val="3FC32E20"/>
    <w:multiLevelType w:val="hybridMultilevel"/>
    <w:lvl w:ilvl="0">
      <w:lvlJc w:val="left"/>
      <w:lvlText w:val="•"/>
      <w:numFmt w:val="bullet"/>
      <w:start w:val="1"/>
    </w:lvl>
  </w:abstractNum>
  <w:abstractNum w:abstractNumId="96">
    <w:nsid w:val="49C0E823"/>
    <w:multiLevelType w:val="hybridMultilevel"/>
    <w:lvl w:ilvl="0">
      <w:lvlJc w:val="left"/>
      <w:lvlText w:val="•"/>
      <w:numFmt w:val="bullet"/>
      <w:start w:val="1"/>
    </w:lvl>
    <w:lvl w:ilvl="1">
      <w:lvlJc w:val="left"/>
      <w:lvlText w:val="(%2)"/>
      <w:numFmt w:val="lowerRoman"/>
      <w:start w:val="3"/>
    </w:lvl>
  </w:abstractNum>
  <w:abstractNum w:abstractNumId="97">
    <w:nsid w:val="14D53685"/>
    <w:multiLevelType w:val="hybridMultilevel"/>
    <w:lvl w:ilvl="0">
      <w:lvlJc w:val="left"/>
      <w:lvlText w:val="•"/>
      <w:numFmt w:val="bullet"/>
      <w:start w:val="1"/>
    </w:lvl>
  </w:abstractNum>
  <w:abstractNum w:abstractNumId="98">
    <w:nsid w:val="230F856C"/>
    <w:multiLevelType w:val="hybridMultilevel"/>
    <w:lvl w:ilvl="0">
      <w:lvlJc w:val="left"/>
      <w:lvlText w:val="(%1)"/>
      <w:numFmt w:val="lowerRoman"/>
      <w:start w:val="1"/>
    </w:lvl>
  </w:abstractNum>
  <w:abstractNum w:abstractNumId="99">
    <w:nsid w:val="6EAA85FB"/>
    <w:multiLevelType w:val="hybridMultilevel"/>
    <w:lvl w:ilvl="0">
      <w:lvlJc w:val="left"/>
      <w:lvlText w:val="(%1)"/>
      <w:numFmt w:val="lowerRoman"/>
      <w:start w:val="3"/>
    </w:lvl>
  </w:abstractNum>
  <w:abstractNum w:abstractNumId="100">
    <w:nsid w:val="3F06ECB2"/>
    <w:multiLevelType w:val="hybridMultilevel"/>
    <w:lvl w:ilvl="0">
      <w:lvlJc w:val="left"/>
      <w:lvlText w:val="(%1)"/>
      <w:numFmt w:val="lowerRoman"/>
      <w:start w:val="1"/>
    </w:lvl>
  </w:abstractNum>
  <w:abstractNum w:abstractNumId="101">
    <w:nsid w:val="3B594807"/>
    <w:multiLevelType w:val="hybridMultilevel"/>
    <w:lvl w:ilvl="0">
      <w:lvlJc w:val="left"/>
      <w:lvlText w:val="*"/>
      <w:numFmt w:val="bullet"/>
      <w:start w:val="1"/>
    </w:lvl>
  </w:abstractNum>
  <w:abstractNum w:abstractNumId="102">
    <w:nsid w:val="6CAA2304"/>
    <w:multiLevelType w:val="hybridMultilevel"/>
    <w:lvl w:ilvl="0">
      <w:lvlJc w:val="left"/>
      <w:lvlText w:val="•"/>
      <w:numFmt w:val="bullet"/>
      <w:start w:val="1"/>
    </w:lvl>
  </w:abstractNum>
  <w:abstractNum w:abstractNumId="103">
    <w:nsid w:val="3F7C2FF4"/>
    <w:multiLevelType w:val="hybridMultilevel"/>
    <w:lvl w:ilvl="0">
      <w:lvlJc w:val="left"/>
      <w:lvlText w:val="•"/>
      <w:numFmt w:val="bullet"/>
      <w:start w:val="1"/>
    </w:lvl>
  </w:abstractNum>
  <w:abstractNum w:abstractNumId="104">
    <w:nsid w:val="25413BEC"/>
    <w:multiLevelType w:val="hybridMultilevel"/>
    <w:lvl w:ilvl="0">
      <w:lvlJc w:val="left"/>
      <w:lvlText w:val="•"/>
      <w:numFmt w:val="bullet"/>
      <w:start w:val="1"/>
    </w:lvl>
  </w:abstractNum>
  <w:abstractNum w:abstractNumId="105">
    <w:nsid w:val="17180B0B"/>
    <w:multiLevelType w:val="hybridMultilevel"/>
    <w:lvl w:ilvl="0">
      <w:lvlJc w:val="left"/>
      <w:lvlText w:val="•"/>
      <w:numFmt w:val="bullet"/>
      <w:start w:val="1"/>
    </w:lvl>
  </w:abstractNum>
  <w:abstractNum w:abstractNumId="106">
    <w:nsid w:val="579328B9"/>
    <w:multiLevelType w:val="hybridMultilevel"/>
    <w:lvl w:ilvl="0">
      <w:lvlJc w:val="left"/>
      <w:lvlText w:val="(%1)"/>
      <w:numFmt w:val="lowerRoman"/>
      <w:start w:val="3"/>
    </w:lvl>
  </w:abstractNum>
  <w:abstractNum w:abstractNumId="107">
    <w:nsid w:val="5D205E20"/>
    <w:multiLevelType w:val="hybridMultilevel"/>
    <w:lvl w:ilvl="0">
      <w:lvlJc w:val="left"/>
      <w:lvlText w:val="(%1)"/>
      <w:numFmt w:val="decimal"/>
      <w:start w:val="1"/>
    </w:lvl>
  </w:abstractNum>
  <w:abstractNum w:abstractNumId="108">
    <w:nsid w:val="11CCA8BA"/>
    <w:multiLevelType w:val="hybridMultilevel"/>
    <w:lvl w:ilvl="0">
      <w:lvlJc w:val="left"/>
      <w:lvlText w:val="•"/>
      <w:numFmt w:val="bullet"/>
      <w:start w:val="1"/>
    </w:lvl>
  </w:abstractNum>
  <w:abstractNum w:abstractNumId="109">
    <w:nsid w:val="4D32AB86"/>
    <w:multiLevelType w:val="hybridMultilevel"/>
    <w:lvl w:ilvl="0">
      <w:lvlJc w:val="left"/>
      <w:lvlText w:val="**"/>
      <w:numFmt w:val="bullet"/>
      <w:start w:val="1"/>
    </w:lvl>
  </w:abstractNum>
  <w:abstractNum w:abstractNumId="110">
    <w:nsid w:val="3F07ACC3"/>
    <w:multiLevelType w:val="hybridMultilevel"/>
    <w:lvl w:ilvl="0">
      <w:lvlJc w:val="left"/>
      <w:lvlText w:val="***"/>
      <w:numFmt w:val="bullet"/>
      <w:start w:val="1"/>
    </w:lvl>
  </w:abstractNum>
  <w:abstractNum w:abstractNumId="111">
    <w:nsid w:val="6B47F63E"/>
    <w:multiLevelType w:val="hybridMultilevel"/>
    <w:lvl w:ilvl="0">
      <w:lvlJc w:val="left"/>
      <w:lvlText w:val="(%1)"/>
      <w:numFmt w:val="decimal"/>
    </w:lvl>
    <w:lvl w:ilvl="1">
      <w:lvlJc w:val="left"/>
      <w:lvlText w:val="†"/>
      <w:numFmt w:val="bullet"/>
      <w:start w:val="1"/>
    </w:lvl>
  </w:abstractNum>
  <w:abstractNum w:abstractNumId="112">
    <w:nsid w:val="5CB44A05"/>
    <w:multiLevelType w:val="hybridMultilevel"/>
    <w:lvl w:ilvl="0">
      <w:lvlJc w:val="left"/>
      <w:lvlText w:val="(%1)"/>
      <w:numFmt w:val="decimal"/>
      <w:start w:val="3"/>
    </w:lvl>
  </w:abstractNum>
  <w:abstractNum w:abstractNumId="113">
    <w:nsid w:val="16CF80F1"/>
    <w:multiLevelType w:val="hybridMultilevel"/>
    <w:lvl w:ilvl="0">
      <w:lvlJc w:val="left"/>
      <w:lvlText w:val="(%1)"/>
      <w:numFmt w:val="decimal"/>
      <w:start w:val="7"/>
    </w:lvl>
  </w:abstractNum>
  <w:abstractNum w:abstractNumId="114">
    <w:nsid w:val="1C695DEC"/>
    <w:multiLevelType w:val="hybridMultilevel"/>
    <w:lvl w:ilvl="0">
      <w:lvlJc w:val="left"/>
      <w:lvlText w:val="(%1)"/>
      <w:numFmt w:val="decimal"/>
      <w:start w:val="2"/>
    </w:lvl>
  </w:abstractNum>
  <w:abstractNum w:abstractNumId="115">
    <w:nsid w:val="3FCFAED9"/>
    <w:multiLevelType w:val="hybridMultilevel"/>
    <w:lvl w:ilvl="0">
      <w:lvlJc w:val="left"/>
      <w:lvlText w:val="(%1)"/>
      <w:numFmt w:val="decimal"/>
      <w:start w:val="2"/>
    </w:lvl>
  </w:abstractNum>
  <w:abstractNum w:abstractNumId="116">
    <w:nsid w:val="F856867"/>
    <w:multiLevelType w:val="hybridMultilevel"/>
    <w:lvl w:ilvl="0">
      <w:lvlJc w:val="left"/>
      <w:lvlText w:val="•"/>
      <w:numFmt w:val="bullet"/>
      <w:start w:val="1"/>
    </w:lvl>
  </w:abstractNum>
  <w:abstractNum w:abstractNumId="117">
    <w:nsid w:val="11B1CC33"/>
    <w:multiLevelType w:val="hybridMultilevel"/>
    <w:lvl w:ilvl="0">
      <w:lvlJc w:val="left"/>
      <w:lvlText w:val="•"/>
      <w:numFmt w:val="bullet"/>
      <w:start w:val="1"/>
    </w:lvl>
  </w:abstractNum>
  <w:abstractNum w:abstractNumId="118">
    <w:nsid w:val="2E22FBB7"/>
    <w:multiLevelType w:val="hybridMultilevel"/>
    <w:lvl w:ilvl="0">
      <w:lvlJc w:val="left"/>
      <w:lvlText w:val="•"/>
      <w:numFmt w:val="bullet"/>
      <w:start w:val="1"/>
    </w:lvl>
  </w:abstractNum>
  <w:abstractNum w:abstractNumId="119">
    <w:nsid w:val="29934699"/>
    <w:multiLevelType w:val="hybridMultilevel"/>
    <w:lvl w:ilvl="0">
      <w:lvlJc w:val="left"/>
      <w:lvlText w:val="•"/>
      <w:numFmt w:val="bullet"/>
      <w:start w:val="1"/>
    </w:lvl>
  </w:abstractNum>
  <w:abstractNum w:abstractNumId="120">
    <w:nsid w:val="77485850"/>
    <w:multiLevelType w:val="hybridMultilevel"/>
    <w:lvl w:ilvl="0">
      <w:lvlJc w:val="left"/>
      <w:lvlText w:val="•"/>
      <w:numFmt w:val="bullet"/>
      <w:start w:val="1"/>
    </w:lvl>
  </w:abstractNum>
  <w:abstractNum w:abstractNumId="121">
    <w:nsid w:val="744939A3"/>
    <w:multiLevelType w:val="hybridMultilevel"/>
    <w:lvl w:ilvl="0">
      <w:lvlJc w:val="left"/>
      <w:lvlText w:val="(%1)"/>
      <w:numFmt w:val="lowerLetter"/>
      <w:start w:val="2"/>
    </w:lvl>
  </w:abstractNum>
  <w:abstractNum w:abstractNumId="122">
    <w:nsid w:val="4FA0D2E3"/>
    <w:multiLevelType w:val="hybridMultilevel"/>
    <w:lvl w:ilvl="0">
      <w:lvlJc w:val="left"/>
      <w:lvlText w:val="•"/>
      <w:numFmt w:val="bullet"/>
      <w:start w:val="1"/>
    </w:lvl>
  </w:abstractNum>
  <w:abstractNum w:abstractNumId="123">
    <w:nsid w:val="6B1D2C14"/>
    <w:multiLevelType w:val="hybridMultilevel"/>
    <w:lvl w:ilvl="0">
      <w:lvlJc w:val="left"/>
      <w:lvlText w:val="•"/>
      <w:numFmt w:val="bullet"/>
      <w:start w:val="1"/>
    </w:lvl>
  </w:abstractNum>
  <w:abstractNum w:abstractNumId="124">
    <w:nsid w:val="68B867D3"/>
    <w:multiLevelType w:val="hybridMultilevel"/>
    <w:lvl w:ilvl="0">
      <w:lvlJc w:val="left"/>
      <w:lvlText w:val="•"/>
      <w:numFmt w:val="bullet"/>
      <w:start w:val="1"/>
    </w:lvl>
  </w:abstractNum>
  <w:abstractNum w:abstractNumId="125">
    <w:nsid w:val="3F7F5DD9"/>
    <w:multiLevelType w:val="hybridMultilevel"/>
    <w:lvl w:ilvl="0">
      <w:lvlJc w:val="left"/>
      <w:lvlText w:val="•"/>
      <w:numFmt w:val="bullet"/>
      <w:start w:val="1"/>
    </w:lvl>
  </w:abstractNum>
  <w:abstractNum w:abstractNumId="126">
    <w:nsid w:val="2AE05A34"/>
    <w:multiLevelType w:val="hybridMultilevel"/>
    <w:lvl w:ilvl="0">
      <w:lvlJc w:val="left"/>
      <w:lvlText w:val="•"/>
      <w:numFmt w:val="bullet"/>
      <w:start w:val="1"/>
    </w:lvl>
  </w:abstractNum>
  <w:abstractNum w:abstractNumId="127">
    <w:nsid w:val="32794FF7"/>
    <w:multiLevelType w:val="hybridMultilevel"/>
    <w:lvl w:ilvl="0">
      <w:lvlJc w:val="left"/>
      <w:lvlText w:val="•"/>
      <w:numFmt w:val="bullet"/>
      <w:start w:val="1"/>
    </w:lvl>
  </w:abstractNum>
  <w:abstractNum w:abstractNumId="128">
    <w:nsid w:val="5454945E"/>
    <w:multiLevelType w:val="hybridMultilevel"/>
    <w:lvl w:ilvl="0">
      <w:lvlJc w:val="left"/>
      <w:lvlText w:val="•"/>
      <w:numFmt w:val="bullet"/>
      <w:start w:val="1"/>
    </w:lvl>
  </w:abstractNum>
  <w:abstractNum w:abstractNumId="129">
    <w:nsid w:val="4DEFDFA0"/>
    <w:multiLevelType w:val="hybridMultilevel"/>
    <w:lvl w:ilvl="0">
      <w:lvlJc w:val="left"/>
      <w:lvlText w:val="•"/>
      <w:numFmt w:val="bullet"/>
      <w:start w:val="1"/>
    </w:lvl>
  </w:abstractNum>
  <w:abstractNum w:abstractNumId="130">
    <w:nsid w:val="2123D5F2"/>
    <w:multiLevelType w:val="hybridMultilevel"/>
    <w:lvl w:ilvl="0">
      <w:lvlJc w:val="left"/>
      <w:lvlText w:val="•"/>
      <w:numFmt w:val="bullet"/>
      <w:start w:val="1"/>
    </w:lvl>
  </w:abstractNum>
  <w:abstractNum w:abstractNumId="131">
    <w:nsid w:val="135B8110"/>
    <w:multiLevelType w:val="hybridMultilevel"/>
    <w:lvl w:ilvl="0">
      <w:lvlJc w:val="left"/>
      <w:lvlText w:val="•"/>
      <w:numFmt w:val="bullet"/>
      <w:start w:val="1"/>
    </w:lvl>
  </w:abstractNum>
  <w:abstractNum w:abstractNumId="132">
    <w:nsid w:val="94927A8"/>
    <w:multiLevelType w:val="hybridMultilevel"/>
    <w:lvl w:ilvl="0">
      <w:lvlJc w:val="left"/>
      <w:lvlText w:val="•"/>
      <w:numFmt w:val="bullet"/>
      <w:start w:val="1"/>
    </w:lvl>
  </w:abstractNum>
  <w:abstractNum w:abstractNumId="133">
    <w:nsid w:val="DCDF8F6"/>
    <w:multiLevelType w:val="hybridMultilevel"/>
    <w:lvl w:ilvl="0">
      <w:lvlJc w:val="left"/>
      <w:lvlText w:val="•"/>
      <w:numFmt w:val="bullet"/>
      <w:start w:val="1"/>
    </w:lvl>
  </w:abstractNum>
  <w:abstractNum w:abstractNumId="134">
    <w:nsid w:val="52D7B105"/>
    <w:multiLevelType w:val="hybridMultilevel"/>
    <w:lvl w:ilvl="0">
      <w:lvlJc w:val="left"/>
      <w:lvlText w:val="•"/>
      <w:numFmt w:val="bullet"/>
      <w:start w:val="1"/>
    </w:lvl>
  </w:abstractNum>
  <w:abstractNum w:abstractNumId="135">
    <w:nsid w:val="2E8A6394"/>
    <w:multiLevelType w:val="hybridMultilevel"/>
    <w:lvl w:ilvl="0">
      <w:lvlJc w:val="left"/>
      <w:lvlText w:val="•"/>
      <w:numFmt w:val="bullet"/>
      <w:start w:val="1"/>
    </w:lvl>
  </w:abstractNum>
  <w:abstractNum w:abstractNumId="136">
    <w:nsid w:val="24E60401"/>
    <w:multiLevelType w:val="hybridMultilevel"/>
    <w:lvl w:ilvl="0">
      <w:lvlJc w:val="left"/>
      <w:lvlText w:val="•"/>
      <w:numFmt w:val="bullet"/>
      <w:start w:val="1"/>
    </w:lvl>
  </w:abstractNum>
  <w:abstractNum w:abstractNumId="137">
    <w:nsid w:val="2A6AD9BE"/>
    <w:multiLevelType w:val="hybridMultilevel"/>
    <w:lvl w:ilvl="0">
      <w:lvlJc w:val="left"/>
      <w:lvlText w:val="%1)"/>
      <w:numFmt w:val="lowerLetter"/>
      <w:start w:val="1"/>
    </w:lvl>
    <w:lvl w:ilvl="1">
      <w:lvlJc w:val="left"/>
      <w:lvlText w:val="%2."/>
      <w:numFmt w:val="lowerRoman"/>
      <w:start w:val="1"/>
    </w:lvl>
  </w:abstractNum>
  <w:abstractNum w:abstractNumId="138">
    <w:nsid w:val="BAAC1B4"/>
    <w:multiLevelType w:val="hybridMultilevel"/>
    <w:lvl w:ilvl="0">
      <w:lvlJc w:val="left"/>
      <w:lvlText w:val="%1)"/>
      <w:numFmt w:val="lowerLetter"/>
      <w:start w:val="2"/>
    </w:lvl>
  </w:abstractNum>
  <w:abstractNum w:abstractNumId="139">
    <w:nsid w:val="36B2ACBC"/>
    <w:multiLevelType w:val="hybridMultilevel"/>
    <w:lvl w:ilvl="0">
      <w:lvlJc w:val="left"/>
      <w:lvlText w:val="(%1)"/>
      <w:numFmt w:val="lowerLetter"/>
      <w:start w:val="1"/>
    </w:lvl>
  </w:abstractNum>
  <w:abstractNum w:abstractNumId="140">
    <w:nsid w:val="779D8544"/>
    <w:multiLevelType w:val="hybridMultilevel"/>
    <w:lvl w:ilvl="0">
      <w:lvlJc w:val="left"/>
      <w:lvlText w:val="•"/>
      <w:numFmt w:val="bullet"/>
      <w:start w:val="1"/>
    </w:lvl>
  </w:abstractNum>
  <w:abstractNum w:abstractNumId="141">
    <w:nsid w:val="4AB26E78"/>
    <w:multiLevelType w:val="hybridMultilevel"/>
    <w:lvl w:ilvl="0">
      <w:lvlJc w:val="left"/>
      <w:lvlText w:val="•"/>
      <w:numFmt w:val="bullet"/>
      <w:start w:val="1"/>
    </w:lvl>
  </w:abstractNum>
  <w:abstractNum w:abstractNumId="142">
    <w:nsid w:val="21FAA2FA"/>
    <w:multiLevelType w:val="hybridMultilevel"/>
    <w:lvl w:ilvl="0">
      <w:lvlJc w:val="left"/>
      <w:lvlText w:val="•"/>
      <w:numFmt w:val="bullet"/>
      <w:start w:val="1"/>
    </w:lvl>
  </w:abstractNum>
  <w:abstractNum w:abstractNumId="143">
    <w:nsid w:val="5451CF49"/>
    <w:multiLevelType w:val="hybridMultilevel"/>
    <w:lvl w:ilvl="0">
      <w:lvlJc w:val="left"/>
      <w:lvlText w:val="•"/>
      <w:numFmt w:val="bullet"/>
      <w:start w:val="1"/>
    </w:lvl>
  </w:abstractNum>
  <w:abstractNum w:abstractNumId="144">
    <w:nsid w:val="6181EF69"/>
    <w:multiLevelType w:val="hybridMultilevel"/>
    <w:lvl w:ilvl="0">
      <w:lvlJc w:val="left"/>
      <w:lvlText w:val="•"/>
      <w:numFmt w:val="bullet"/>
      <w:start w:val="1"/>
    </w:lvl>
  </w:abstractNum>
  <w:abstractNum w:abstractNumId="145">
    <w:nsid w:val="3E6400E6"/>
    <w:multiLevelType w:val="hybridMultilevel"/>
    <w:lvl w:ilvl="0">
      <w:lvlJc w:val="left"/>
      <w:lvlText w:val="(%1)"/>
      <w:numFmt w:val="decimal"/>
      <w:start w:val="2"/>
    </w:lvl>
  </w:abstractNum>
  <w:abstractNum w:abstractNumId="146">
    <w:nsid w:val="14217E23"/>
    <w:multiLevelType w:val="hybridMultilevel"/>
    <w:lvl w:ilvl="0">
      <w:lvlJc w:val="left"/>
      <w:lvlText w:val="(%1)"/>
      <w:numFmt w:val="lowerLetter"/>
      <w:start w:val="1"/>
    </w:lvl>
  </w:abstractNum>
  <w:abstractNum w:abstractNumId="147">
    <w:nsid w:val="710757D0"/>
    <w:multiLevelType w:val="hybridMultilevel"/>
    <w:lvl w:ilvl="0">
      <w:lvlJc w:val="left"/>
      <w:lvlText w:val="%1."/>
      <w:numFmt w:val="decimal"/>
      <w:start w:val="1"/>
    </w:lvl>
    <w:lvl w:ilvl="1">
      <w:lvlJc w:val="left"/>
      <w:lvlText w:val="(%2)"/>
      <w:numFmt w:val="lowerLetter"/>
      <w:start w:val="1"/>
    </w:lvl>
  </w:abstractNum>
  <w:abstractNum w:abstractNumId="148">
    <w:nsid w:val="5015CD1A"/>
    <w:multiLevelType w:val="hybridMultilevel"/>
    <w:lvl w:ilvl="0">
      <w:lvlJc w:val="left"/>
      <w:lvlText w:val="%1)"/>
      <w:numFmt w:val="decimal"/>
      <w:start w:val="1"/>
    </w:lvl>
  </w:abstractNum>
  <w:abstractNum w:abstractNumId="149">
    <w:nsid w:val="424479DA"/>
    <w:multiLevelType w:val="hybridMultilevel"/>
    <w:lvl w:ilvl="0">
      <w:lvlJc w:val="left"/>
      <w:lvlText w:val="%1."/>
      <w:numFmt w:val="decimal"/>
      <w:start w:val="1"/>
    </w:lvl>
    <w:lvl w:ilvl="1">
      <w:lvlJc w:val="left"/>
      <w:lvlText w:val="(%2)"/>
      <w:numFmt w:val="lowerLetter"/>
      <w:start w:val="2"/>
    </w:lvl>
  </w:abstractNum>
  <w:abstractNum w:abstractNumId="150">
    <w:nsid w:val="1A9A9E69"/>
    <w:multiLevelType w:val="hybridMultilevel"/>
    <w:lvl w:ilvl="0">
      <w:lvlJc w:val="left"/>
      <w:lvlText w:val="%1."/>
      <w:numFmt w:val="decimal"/>
      <w:start w:val="1"/>
    </w:lvl>
    <w:lvl w:ilvl="1">
      <w:lvlJc w:val="left"/>
      <w:lvlText w:val="(%2)"/>
      <w:numFmt w:val="lowerLetter"/>
      <w:start w:val="2"/>
    </w:lvl>
  </w:abstractNum>
  <w:abstractNum w:abstractNumId="151">
    <w:nsid w:val="475E256A"/>
    <w:multiLevelType w:val="hybridMultilevel"/>
    <w:lvl w:ilvl="0">
      <w:lvlJc w:val="left"/>
      <w:lvlText w:val="%1."/>
      <w:numFmt w:val="decimal"/>
      <w:start w:val="1"/>
    </w:lvl>
    <w:lvl w:ilvl="1">
      <w:lvlJc w:val="left"/>
      <w:lvlText w:val="(%2)"/>
      <w:numFmt w:val="lowerLetter"/>
      <w:start w:val="3"/>
    </w:lvl>
  </w:abstractNum>
  <w:abstractNum w:abstractNumId="152">
    <w:nsid w:val="368DB37E"/>
    <w:multiLevelType w:val="hybridMultilevel"/>
    <w:lvl w:ilvl="0">
      <w:lvlJc w:val="left"/>
      <w:lvlText w:val="%1."/>
      <w:numFmt w:val="decimal"/>
      <w:start w:val="1"/>
    </w:lvl>
    <w:lvl w:ilvl="1">
      <w:lvlJc w:val="left"/>
      <w:lvlText w:val="(%2)"/>
      <w:numFmt w:val="lowerLetter"/>
      <w:start w:val="3"/>
    </w:lvl>
  </w:abstractNum>
  <w:abstractNum w:abstractNumId="153">
    <w:nsid w:val="6A3B714C"/>
    <w:multiLevelType w:val="hybridMultilevel"/>
    <w:lvl w:ilvl="0">
      <w:lvlJc w:val="left"/>
      <w:lvlText w:val="%1."/>
      <w:numFmt w:val="decimal"/>
      <w:start w:val="1"/>
    </w:lvl>
    <w:lvl w:ilvl="1">
      <w:lvlJc w:val="left"/>
      <w:lvlText w:val="(%2)"/>
      <w:numFmt w:val="lowerLetter"/>
      <w:start w:val="3"/>
    </w:lvl>
  </w:abstractNum>
  <w:abstractNum w:abstractNumId="154">
    <w:nsid w:val="327B517E"/>
    <w:multiLevelType w:val="hybridMultilevel"/>
    <w:lvl w:ilvl="0">
      <w:lvlJc w:val="left"/>
      <w:lvlText w:val="%1."/>
      <w:numFmt w:val="decimal"/>
      <w:start w:val="1"/>
    </w:lvl>
    <w:lvl w:ilvl="1">
      <w:lvlJc w:val="left"/>
      <w:lvlText w:val="(%2)"/>
      <w:numFmt w:val="lowerLetter"/>
      <w:start w:val="3"/>
    </w:lvl>
  </w:abstractNum>
  <w:abstractNum w:abstractNumId="155">
    <w:nsid w:val="1F461B51"/>
    <w:multiLevelType w:val="hybridMultilevel"/>
    <w:lvl w:ilvl="0">
      <w:lvlJc w:val="left"/>
      <w:lvlText w:val="%1."/>
      <w:numFmt w:val="decimal"/>
      <w:start w:val="1"/>
    </w:lvl>
    <w:lvl w:ilvl="1">
      <w:lvlJc w:val="left"/>
      <w:lvlText w:val="(%2)"/>
      <w:numFmt w:val="lowerLetter"/>
      <w:start w:val="3"/>
    </w:lvl>
  </w:abstractNum>
  <w:abstractNum w:abstractNumId="156">
    <w:nsid w:val="29BACF25"/>
    <w:multiLevelType w:val="hybridMultilevel"/>
    <w:lvl w:ilvl="0">
      <w:lvlJc w:val="left"/>
      <w:lvlText w:val="%1."/>
      <w:numFmt w:val="decimal"/>
      <w:start w:val="2"/>
    </w:lvl>
  </w:abstractNum>
  <w:abstractNum w:abstractNumId="157">
    <w:nsid w:val="5D5BABB3"/>
    <w:multiLevelType w:val="hybridMultilevel"/>
    <w:lvl w:ilvl="0">
      <w:lvlJc w:val="left"/>
      <w:lvlText w:val="%1."/>
      <w:numFmt w:val="decimal"/>
      <w:start w:val="2"/>
    </w:lvl>
  </w:abstractNum>
  <w:abstractNum w:abstractNumId="158">
    <w:nsid w:val="51BF6B48"/>
    <w:multiLevelType w:val="hybridMultilevel"/>
    <w:lvl w:ilvl="0">
      <w:lvlJc w:val="left"/>
      <w:lvlText w:val="%1."/>
      <w:numFmt w:val="decimal"/>
      <w:start w:val="2"/>
    </w:lvl>
  </w:abstractNum>
  <w:abstractNum w:abstractNumId="159">
    <w:nsid w:val="7E0F6384"/>
    <w:multiLevelType w:val="hybridMultilevel"/>
    <w:lvl w:ilvl="0">
      <w:lvlJc w:val="left"/>
      <w:lvlText w:val="%1."/>
      <w:numFmt w:val="decimal"/>
      <w:start w:val="2"/>
    </w:lvl>
  </w:abstractNum>
  <w:abstractNum w:abstractNumId="160">
    <w:nsid w:val="2B4B8B53"/>
    <w:multiLevelType w:val="hybridMultilevel"/>
    <w:lvl w:ilvl="0">
      <w:lvlJc w:val="left"/>
      <w:lvlText w:val="%1."/>
      <w:numFmt w:val="decimal"/>
      <w:start w:val="2"/>
    </w:lvl>
  </w:abstractNum>
  <w:abstractNum w:abstractNumId="161">
    <w:nsid w:val="72E3413A"/>
    <w:multiLevelType w:val="hybridMultilevel"/>
    <w:lvl w:ilvl="0">
      <w:lvlJc w:val="left"/>
      <w:lvlText w:val="%1."/>
      <w:numFmt w:val="decimal"/>
      <w:start w:val="2"/>
    </w:lvl>
  </w:abstractNum>
  <w:abstractNum w:abstractNumId="162">
    <w:nsid w:val="116AE494"/>
    <w:multiLevelType w:val="hybridMultilevel"/>
    <w:lvl w:ilvl="0">
      <w:lvlJc w:val="left"/>
      <w:lvlText w:val="%1."/>
      <w:numFmt w:val="decimal"/>
      <w:start w:val="2"/>
    </w:lvl>
  </w:abstractNum>
  <w:abstractNum w:abstractNumId="163">
    <w:nsid w:val="3494B2FB"/>
    <w:multiLevelType w:val="hybridMultilevel"/>
    <w:lvl w:ilvl="0">
      <w:lvlJc w:val="left"/>
      <w:lvlText w:val="%1."/>
      <w:numFmt w:val="decimal"/>
      <w:start w:val="2"/>
    </w:lvl>
  </w:abstractNum>
  <w:abstractNum w:abstractNumId="164">
    <w:nsid w:val="B13A31"/>
    <w:multiLevelType w:val="hybridMultilevel"/>
    <w:lvl w:ilvl="0">
      <w:lvlJc w:val="left"/>
      <w:lvlText w:val="%1."/>
      <w:numFmt w:val="decimal"/>
      <w:start w:val="2"/>
    </w:lvl>
  </w:abstractNum>
  <w:abstractNum w:abstractNumId="165">
    <w:nsid w:val="64429599"/>
    <w:multiLevelType w:val="hybridMultilevel"/>
    <w:lvl w:ilvl="0">
      <w:lvlJc w:val="left"/>
      <w:lvlText w:val="(%1)"/>
      <w:numFmt w:val="lowerRoman"/>
      <w:start w:val="1"/>
    </w:lvl>
  </w:abstractNum>
  <w:abstractNum w:abstractNumId="166">
    <w:nsid w:val="631F1690"/>
    <w:multiLevelType w:val="hybridMultilevel"/>
    <w:lvl w:ilvl="0">
      <w:lvlJc w:val="left"/>
      <w:lvlText w:val="%1)"/>
      <w:numFmt w:val="decimal"/>
      <w:start w:val="1"/>
    </w:lvl>
  </w:abstractNum>
  <w:abstractNum w:abstractNumId="167">
    <w:nsid w:val="25973E32"/>
    <w:multiLevelType w:val="hybridMultilevel"/>
    <w:lvl w:ilvl="0">
      <w:lvlJc w:val="left"/>
      <w:lvlText w:val="%1)"/>
      <w:numFmt w:val="decimal"/>
      <w:start w:val="2"/>
    </w:lvl>
  </w:abstractNum>
  <w:abstractNum w:abstractNumId="168">
    <w:nsid w:val="EAD6F57"/>
    <w:multiLevelType w:val="hybridMultilevel"/>
    <w:lvl w:ilvl="0">
      <w:lvlJc w:val="left"/>
      <w:lvlText w:val="(%1)"/>
      <w:numFmt w:val="lowerRoman"/>
      <w:start w:val="1"/>
    </w:lvl>
  </w:abstractNum>
  <w:abstractNum w:abstractNumId="169">
    <w:nsid w:val="6EC9D844"/>
    <w:multiLevelType w:val="hybridMultilevel"/>
    <w:lvl w:ilvl="0">
      <w:lvlJc w:val="left"/>
      <w:lvlText w:val="%1."/>
      <w:numFmt w:val="decimal"/>
      <w:start w:val="6"/>
    </w:lvl>
    <w:lvl w:ilvl="1">
      <w:lvlJc w:val="left"/>
      <w:lvlText w:val="%2)"/>
      <w:numFmt w:val="decimal"/>
      <w:start w:val="3"/>
    </w:lvl>
  </w:abstractNum>
  <w:abstractNum w:abstractNumId="170">
    <w:nsid w:val="5C49EAEE"/>
    <w:multiLevelType w:val="hybridMultilevel"/>
    <w:lvl w:ilvl="0">
      <w:lvlJc w:val="left"/>
      <w:lvlText w:val="(%1)"/>
      <w:numFmt w:val="lowerRoman"/>
      <w:start w:val="1"/>
    </w:lvl>
  </w:abstractNum>
  <w:abstractNum w:abstractNumId="171">
    <w:nsid w:val="64AF49B"/>
    <w:multiLevelType w:val="hybridMultilevel"/>
    <w:lvl w:ilvl="0">
      <w:lvlJc w:val="left"/>
      <w:lvlText w:val="(%1)"/>
      <w:numFmt w:val="lowerRoman"/>
      <w:start w:val="1"/>
    </w:lvl>
  </w:abstractNum>
  <w:abstractNum w:abstractNumId="172">
    <w:nsid w:val="397C46BC"/>
    <w:multiLevelType w:val="hybridMultilevel"/>
    <w:lvl w:ilvl="0">
      <w:lvlJc w:val="left"/>
      <w:lvlText w:val="%1."/>
      <w:numFmt w:val="decimal"/>
      <w:start w:val="12"/>
    </w:lvl>
  </w:abstractNum>
  <w:abstractNum w:abstractNumId="173">
    <w:nsid w:val="7E448DE9"/>
    <w:multiLevelType w:val="hybridMultilevel"/>
    <w:lvl w:ilvl="0">
      <w:lvlJc w:val="left"/>
      <w:lvlText w:val="*"/>
      <w:numFmt w:val="bullet"/>
      <w:start w:val="1"/>
    </w:lvl>
  </w:abstractNum>
  <w:abstractNum w:abstractNumId="174">
    <w:nsid w:val="5A9CC3E5"/>
    <w:multiLevelType w:val="hybridMultilevel"/>
    <w:lvl w:ilvl="0">
      <w:lvlJc w:val="left"/>
      <w:lvlText w:val="%1."/>
      <w:numFmt w:val="decimal"/>
      <w:start w:val="13"/>
    </w:lvl>
  </w:abstractNum>
  <w:abstractNum w:abstractNumId="175">
    <w:nsid w:val="1AFE3625"/>
    <w:multiLevelType w:val="hybridMultilevel"/>
    <w:lvl w:ilvl="0">
      <w:lvlJc w:val="left"/>
      <w:lvlText w:val="%1."/>
      <w:numFmt w:val="decimal"/>
      <w:start w:val="13"/>
    </w:lvl>
  </w:abstractNum>
  <w:abstractNum w:abstractNumId="176">
    <w:nsid w:val="3CA88ECF"/>
    <w:multiLevelType w:val="hybridMultilevel"/>
    <w:lvl w:ilvl="0">
      <w:lvlJc w:val="left"/>
      <w:lvlText w:val="%1."/>
      <w:numFmt w:val="decimal"/>
      <w:start w:val="14"/>
    </w:lvl>
  </w:abstractNum>
  <w:abstractNum w:abstractNumId="177">
    <w:nsid w:val="6EBE4208"/>
    <w:multiLevelType w:val="hybridMultilevel"/>
    <w:lvl w:ilvl="0">
      <w:lvlJc w:val="left"/>
      <w:lvlText w:val="%1."/>
      <w:numFmt w:val="decimal"/>
      <w:start w:val="14"/>
    </w:lvl>
  </w:abstractNum>
  <w:abstractNum w:abstractNumId="178">
    <w:nsid w:val="C058DF5"/>
    <w:multiLevelType w:val="hybridMultilevel"/>
    <w:lvl w:ilvl="0">
      <w:lvlJc w:val="left"/>
      <w:lvlText w:val="%1."/>
      <w:numFmt w:val="decimal"/>
      <w:start w:val="14"/>
    </w:lvl>
  </w:abstractNum>
  <w:abstractNum w:abstractNumId="179">
    <w:nsid w:val="CBE5BE9"/>
    <w:multiLevelType w:val="hybridMultilevel"/>
    <w:lvl w:ilvl="0">
      <w:lvlJc w:val="left"/>
      <w:lvlText w:val="%1."/>
      <w:numFmt w:val="decimal"/>
      <w:start w:val="14"/>
    </w:lvl>
  </w:abstractNum>
  <w:abstractNum w:abstractNumId="180">
    <w:nsid w:val="3102BBE2"/>
    <w:multiLevelType w:val="hybridMultilevel"/>
    <w:lvl w:ilvl="0">
      <w:lvlJc w:val="left"/>
      <w:lvlText w:val="%1."/>
      <w:numFmt w:val="decimal"/>
      <w:start w:val="15"/>
    </w:lvl>
  </w:abstractNum>
  <w:abstractNum w:abstractNumId="181">
    <w:nsid w:val="26A02C5E"/>
    <w:multiLevelType w:val="hybridMultilevel"/>
    <w:lvl w:ilvl="0">
      <w:lvlJc w:val="left"/>
      <w:lvlText w:val="%1."/>
      <w:numFmt w:val="decimal"/>
      <w:start w:val="16"/>
    </w:lvl>
  </w:abstractNum>
  <w:abstractNum w:abstractNumId="182">
    <w:nsid w:val="541C8153"/>
    <w:multiLevelType w:val="hybridMultilevel"/>
    <w:lvl w:ilvl="0">
      <w:lvlJc w:val="left"/>
      <w:lvlText w:val="%1."/>
      <w:numFmt w:val="decimal"/>
      <w:start w:val="16"/>
    </w:lvl>
  </w:abstractNum>
  <w:abstractNum w:abstractNumId="183">
    <w:nsid w:val="67906F60"/>
    <w:multiLevelType w:val="hybridMultilevel"/>
    <w:lvl w:ilvl="0">
      <w:lvlJc w:val="left"/>
      <w:lvlText w:val="%1."/>
      <w:numFmt w:val="decimal"/>
      <w:start w:val="16"/>
    </w:lvl>
  </w:abstractNum>
  <w:abstractNum w:abstractNumId="184">
    <w:nsid w:val="10DB9DAA"/>
    <w:multiLevelType w:val="hybridMultilevel"/>
    <w:lvl w:ilvl="0">
      <w:lvlJc w:val="left"/>
      <w:lvlText w:val="%1."/>
      <w:numFmt w:val="decimal"/>
      <w:start w:val="16"/>
    </w:lvl>
  </w:abstractNum>
  <w:abstractNum w:abstractNumId="185">
    <w:nsid w:val="697D2D2"/>
    <w:multiLevelType w:val="hybridMultilevel"/>
    <w:lvl w:ilvl="0">
      <w:lvlJc w:val="left"/>
      <w:lvlText w:val="%1."/>
      <w:numFmt w:val="decimal"/>
      <w:start w:val="20"/>
    </w:lvl>
  </w:abstractNum>
  <w:abstractNum w:abstractNumId="186">
    <w:nsid w:val="6D68AB2"/>
    <w:multiLevelType w:val="hybridMultilevel"/>
    <w:lvl w:ilvl="0">
      <w:lvlJc w:val="left"/>
      <w:lvlText w:val="%1."/>
      <w:numFmt w:val="decimal"/>
      <w:start w:val="1"/>
    </w:lvl>
    <w:lvl w:ilvl="1">
      <w:lvlJc w:val="left"/>
      <w:lvlText w:val="(%2)"/>
      <w:numFmt w:val="lowerLetter"/>
      <w:start w:val="1"/>
    </w:lvl>
  </w:abstractNum>
  <w:abstractNum w:abstractNumId="187">
    <w:nsid w:val="3A966CD0"/>
    <w:multiLevelType w:val="hybridMultilevel"/>
    <w:lvl w:ilvl="0">
      <w:lvlJc w:val="left"/>
      <w:lvlText w:val="%1."/>
      <w:numFmt w:val="decimal"/>
      <w:start w:val="1"/>
    </w:lvl>
    <w:lvl w:ilvl="1">
      <w:lvlJc w:val="left"/>
      <w:lvlText w:val="(%2)"/>
      <w:numFmt w:val="lowerLetter"/>
      <w:start w:val="2"/>
    </w:lvl>
  </w:abstractNum>
  <w:abstractNum w:abstractNumId="188">
    <w:nsid w:val="63F37E85"/>
    <w:multiLevelType w:val="hybridMultilevel"/>
    <w:lvl w:ilvl="0">
      <w:lvlJc w:val="left"/>
      <w:lvlText w:val="%1."/>
      <w:numFmt w:val="decimal"/>
      <w:start w:val="1"/>
    </w:lvl>
    <w:lvl w:ilvl="1">
      <w:lvlJc w:val="left"/>
      <w:lvlText w:val="(%2)"/>
      <w:numFmt w:val="lowerLetter"/>
      <w:start w:val="3"/>
    </w:lvl>
  </w:abstractNum>
  <w:abstractNum w:abstractNumId="189">
    <w:nsid w:val="5895F5FA"/>
    <w:multiLevelType w:val="hybridMultilevel"/>
    <w:lvl w:ilvl="0">
      <w:lvlJc w:val="left"/>
      <w:lvlText w:val="%1."/>
      <w:numFmt w:val="decimal"/>
      <w:start w:val="1"/>
    </w:lvl>
    <w:lvl w:ilvl="1">
      <w:lvlJc w:val="left"/>
      <w:lvlText w:val="(%2)"/>
      <w:numFmt w:val="lowerLetter"/>
      <w:start w:val="3"/>
    </w:lvl>
  </w:abstractNum>
  <w:abstractNum w:abstractNumId="190">
    <w:nsid w:val="38A5D054"/>
    <w:multiLevelType w:val="hybridMultilevel"/>
    <w:lvl w:ilvl="0">
      <w:lvlJc w:val="left"/>
      <w:lvlText w:val="%1."/>
      <w:numFmt w:val="decimal"/>
      <w:start w:val="2"/>
    </w:lvl>
  </w:abstractNum>
  <w:abstractNum w:abstractNumId="191">
    <w:nsid w:val="F3F09D8"/>
    <w:multiLevelType w:val="hybridMultilevel"/>
    <w:lvl w:ilvl="0">
      <w:lvlJc w:val="left"/>
      <w:lvlText w:val="%1."/>
      <w:numFmt w:val="decimal"/>
      <w:start w:val="2"/>
    </w:lvl>
  </w:abstractNum>
  <w:abstractNum w:abstractNumId="192">
    <w:nsid w:val="4B793735"/>
    <w:multiLevelType w:val="hybridMultilevel"/>
    <w:lvl w:ilvl="0">
      <w:lvlJc w:val="left"/>
      <w:lvlText w:val="(%1)"/>
      <w:numFmt w:val="lowerRoman"/>
      <w:start w:val="1"/>
    </w:lvl>
  </w:abstractNum>
  <w:abstractNum w:abstractNumId="193">
    <w:nsid w:val="4A10B4E8"/>
    <w:multiLevelType w:val="hybridMultilevel"/>
    <w:lvl w:ilvl="0">
      <w:lvlJc w:val="left"/>
      <w:lvlText w:val="%1)"/>
      <w:numFmt w:val="decimal"/>
      <w:start w:val="1"/>
    </w:lvl>
  </w:abstractNum>
  <w:abstractNum w:abstractNumId="194">
    <w:nsid w:val="43D3BCD4"/>
    <w:multiLevelType w:val="hybridMultilevel"/>
    <w:lvl w:ilvl="0">
      <w:lvlJc w:val="left"/>
      <w:lvlText w:val="%1."/>
      <w:numFmt w:val="decimal"/>
      <w:start w:val="5"/>
    </w:lvl>
    <w:lvl w:ilvl="1">
      <w:lvlJc w:val="left"/>
      <w:lvlText w:val="%2)"/>
      <w:numFmt w:val="decimal"/>
      <w:start w:val="2"/>
    </w:lvl>
  </w:abstractNum>
  <w:abstractNum w:abstractNumId="195">
    <w:nsid w:val="4C2A7166"/>
    <w:multiLevelType w:val="hybridMultilevel"/>
    <w:lvl w:ilvl="0">
      <w:lvlJc w:val="left"/>
      <w:lvlText w:val="(%1)"/>
      <w:numFmt w:val="lowerRoman"/>
      <w:start w:val="1"/>
    </w:lvl>
  </w:abstractNum>
  <w:abstractNum w:abstractNumId="196">
    <w:nsid w:val="2E534A82"/>
    <w:multiLevelType w:val="hybridMultilevel"/>
    <w:lvl w:ilvl="0">
      <w:lvlJc w:val="left"/>
      <w:lvlText w:val="(%1)"/>
      <w:numFmt w:val="lowerRoman"/>
      <w:start w:val="1"/>
    </w:lvl>
  </w:abstractNum>
  <w:abstractNum w:abstractNumId="197">
    <w:nsid w:val="26F2D364"/>
    <w:multiLevelType w:val="hybridMultilevel"/>
    <w:lvl w:ilvl="0">
      <w:lvlJc w:val="left"/>
      <w:lvlText w:val="(%1)"/>
      <w:numFmt w:val="lowerRoman"/>
      <w:start w:val="1"/>
    </w:lvl>
  </w:abstractNum>
  <w:abstractNum w:abstractNumId="198">
    <w:nsid w:val="71C1AF98"/>
    <w:multiLevelType w:val="hybridMultilevel"/>
    <w:lvl w:ilvl="0">
      <w:lvlJc w:val="left"/>
      <w:lvlText w:val="%1."/>
      <w:numFmt w:val="decimal"/>
      <w:start w:val="8"/>
    </w:lvl>
  </w:abstractNum>
  <w:abstractNum w:abstractNumId="199">
    <w:nsid w:val="3D00B9D9"/>
    <w:multiLevelType w:val="hybridMultilevel"/>
    <w:lvl w:ilvl="0">
      <w:lvlJc w:val="left"/>
      <w:lvlText w:val="(%1)"/>
      <w:numFmt w:val="lowerRoman"/>
      <w:start w:val="1"/>
    </w:lvl>
  </w:abstractNum>
  <w:abstractNum w:abstractNumId="200">
    <w:nsid w:val="15BCABA8"/>
    <w:multiLevelType w:val="hybridMultilevel"/>
    <w:lvl w:ilvl="0">
      <w:lvlJc w:val="left"/>
      <w:lvlText w:val="%1."/>
      <w:numFmt w:val="decimal"/>
      <w:start w:val="10"/>
    </w:lvl>
  </w:abstractNum>
  <w:abstractNum w:abstractNumId="201">
    <w:nsid w:val="4E0B9A87"/>
    <w:multiLevelType w:val="hybridMultilevel"/>
    <w:lvl w:ilvl="0">
      <w:lvlJc w:val="left"/>
      <w:lvlText w:val="(%1)"/>
      <w:numFmt w:val="decimal"/>
      <w:start w:val="1"/>
    </w:lvl>
  </w:abstractNum>
  <w:abstractNum w:abstractNumId="202">
    <w:nsid w:val="434BAE75"/>
    <w:multiLevelType w:val="hybridMultilevel"/>
    <w:lvl w:ilvl="0">
      <w:lvlJc w:val="left"/>
      <w:lvlText w:val="%1."/>
      <w:numFmt w:val="decimal"/>
      <w:start w:val="10"/>
    </w:lvl>
  </w:abstractNum>
  <w:abstractNum w:abstractNumId="203">
    <w:nsid w:val="4F38F265"/>
    <w:multiLevelType w:val="hybridMultilevel"/>
    <w:lvl w:ilvl="0">
      <w:lvlJc w:val="left"/>
      <w:lvlText w:val="%1."/>
      <w:numFmt w:val="decimal"/>
      <w:start w:val="11"/>
    </w:lvl>
  </w:abstractNum>
  <w:abstractNum w:abstractNumId="204">
    <w:nsid w:val="4C502870"/>
    <w:multiLevelType w:val="hybridMultilevel"/>
    <w:lvl w:ilvl="0">
      <w:lvlJc w:val="left"/>
      <w:lvlText w:val="(%1)"/>
      <w:numFmt w:val="lowerLetter"/>
      <w:start w:val="1"/>
    </w:lvl>
  </w:abstractNum>
  <w:abstractNum w:abstractNumId="205">
    <w:nsid w:val="1DE8725A"/>
    <w:multiLevelType w:val="hybridMultilevel"/>
    <w:lvl w:ilvl="0">
      <w:lvlJc w:val="left"/>
      <w:lvlText w:val="(%1)"/>
      <w:numFmt w:val="lowerLetter"/>
      <w:start w:val="3"/>
    </w:lvl>
    <w:lvl w:ilvl="1">
      <w:lvlJc w:val="left"/>
      <w:lvlText w:val="(%2)"/>
      <w:numFmt w:val="decimal"/>
      <w:start w:val="1"/>
    </w:lvl>
  </w:abstractNum>
  <w:abstractNum w:abstractNumId="206">
    <w:nsid w:val="6A37288A"/>
    <w:multiLevelType w:val="hybridMultilevel"/>
    <w:lvl w:ilvl="0">
      <w:lvlJc w:val="left"/>
      <w:lvlText w:val="*"/>
      <w:numFmt w:val="bullet"/>
      <w:start w:val="1"/>
    </w:lvl>
  </w:abstractNum>
  <w:abstractNum w:abstractNumId="207">
    <w:nsid w:val="8F8B73F"/>
    <w:multiLevelType w:val="hybridMultilevel"/>
    <w:lvl w:ilvl="0">
      <w:lvlJc w:val="left"/>
      <w:lvlText w:val="†"/>
      <w:numFmt w:val="bullet"/>
      <w:start w:val="1"/>
    </w:lvl>
  </w:abstractNum>
  <w:abstractNum w:abstractNumId="208">
    <w:nsid w:val="CA6B46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2026-06-01T15:31:41Z</dcterms:created>
  <dcterms:modified xsi:type="dcterms:W3CDTF">2026-06-01T15:31:41Z</dcterms:modified>
</cp:coreProperties>
</file>